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ind w:firstLine="560" w:firstLineChars="200"/>
        <w:rPr>
          <w:rFonts w:hint="eastAsia" w:ascii="黑体" w:hAnsi="黑体" w:eastAsia="黑体" w:cs="黑体"/>
          <w:sz w:val="28"/>
          <w:szCs w:val="36"/>
          <w:lang w:eastAsia="zh-CN"/>
        </w:rPr>
      </w:pPr>
      <w:r>
        <w:rPr>
          <w:rFonts w:hint="eastAsia" w:ascii="黑体" w:hAnsi="黑体" w:eastAsia="黑体" w:cs="黑体"/>
          <w:sz w:val="28"/>
          <w:szCs w:val="36"/>
          <w:lang w:eastAsia="zh-CN"/>
        </w:rPr>
        <w:t>GB/T 21714.1-2015《雷电防护 第1部分：总则》</w:t>
      </w:r>
    </w:p>
    <w:p>
      <w:pPr>
        <w:numPr>
          <w:numId w:val="0"/>
        </w:numPr>
        <w:ind w:firstLine="560" w:firstLineChars="200"/>
        <w:rPr>
          <w:rFonts w:hint="eastAsia" w:ascii="黑体" w:hAnsi="黑体" w:eastAsia="黑体" w:cs="黑体"/>
          <w:sz w:val="28"/>
          <w:szCs w:val="36"/>
          <w:lang w:eastAsia="zh-CN"/>
        </w:rPr>
      </w:pPr>
      <w:r>
        <w:rPr>
          <w:rFonts w:hint="eastAsia" w:ascii="黑体" w:hAnsi="黑体" w:eastAsia="黑体" w:cs="黑体"/>
          <w:sz w:val="28"/>
          <w:szCs w:val="36"/>
          <w:lang w:eastAsia="zh-CN"/>
        </w:rPr>
        <w:t>GB/T 21714.3-2015《雷电防护 第3部分：建筑物的物理损坏和生命危险》</w:t>
      </w:r>
    </w:p>
    <w:p>
      <w:pPr>
        <w:numPr>
          <w:numId w:val="0"/>
        </w:numPr>
        <w:ind w:firstLine="560" w:firstLineChars="200"/>
        <w:rPr>
          <w:rFonts w:hint="eastAsia" w:ascii="黑体" w:hAnsi="黑体" w:eastAsia="黑体" w:cs="黑体"/>
          <w:sz w:val="28"/>
          <w:szCs w:val="36"/>
          <w:lang w:eastAsia="zh-CN"/>
        </w:rPr>
      </w:pPr>
      <w:r>
        <w:rPr>
          <w:rFonts w:hint="eastAsia" w:ascii="黑体" w:hAnsi="黑体" w:eastAsia="黑体" w:cs="黑体"/>
          <w:sz w:val="28"/>
          <w:szCs w:val="36"/>
          <w:lang w:eastAsia="zh-CN"/>
        </w:rPr>
        <w:t>GB/T 21714.4-20105《雷电防护 第4部分：建筑物内电子和电气系统》</w:t>
      </w:r>
      <w:bookmarkStart w:id="23" w:name="_GoBack"/>
      <w:bookmarkEnd w:id="23"/>
    </w:p>
    <w:p>
      <w:pPr>
        <w:numPr>
          <w:numId w:val="0"/>
        </w:numPr>
        <w:ind w:firstLine="560" w:firstLineChars="200"/>
        <w:rPr>
          <w:rFonts w:hint="eastAsia" w:ascii="黑体" w:hAnsi="黑体" w:eastAsia="黑体" w:cs="黑体"/>
          <w:sz w:val="28"/>
          <w:szCs w:val="36"/>
          <w:lang w:eastAsia="zh-CN"/>
        </w:rPr>
      </w:pPr>
    </w:p>
    <w:p>
      <w:pPr>
        <w:numPr>
          <w:numId w:val="0"/>
        </w:numPr>
        <w:ind w:firstLine="560" w:firstLineChars="200"/>
        <w:rPr>
          <w:rFonts w:hint="eastAsia" w:ascii="黑体" w:hAnsi="黑体" w:eastAsia="黑体" w:cs="黑体"/>
          <w:sz w:val="28"/>
          <w:szCs w:val="36"/>
          <w:lang w:eastAsia="zh-CN"/>
        </w:rPr>
      </w:pPr>
      <w:r>
        <w:rPr>
          <w:rFonts w:hint="eastAsia" w:ascii="黑体" w:hAnsi="黑体" w:eastAsia="黑体" w:cs="黑体"/>
          <w:sz w:val="28"/>
          <w:szCs w:val="36"/>
          <w:lang w:eastAsia="zh-CN"/>
        </w:rPr>
        <w:t>一、名词解释</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1.落地雷闪：云地间的大气放电, 由一个或多个雷击组成。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2.下行雷：始于云到地一个向下先导的雷闪。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3.上行雷：始于地面建筑物到云端一个向上先导的雷闪。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4.雷击：落地雷闪中的单次放电。</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5.短雷击：雷闪的组成部分，它对应于一个冲击电流。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6.长雷击：雷闪的组成部分，它对应于一个连续电流。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7.多重雷击：平均由3～4个雷击组成的雷闪，两个雷击的时间间隔通常约为50ms。</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8.雷击点：雷电击中大地或高耸物体（如建筑物、LPS、服务设施、树等）的点。</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9.雷电流：流经雷击点的电流。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10.峰值：雷电流的最大值。</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11.短雷击电流波头的平均陡度：数值上等于在时间间隔t2-t1内雷电流的平均变化率。</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12.短雷击电流的波头时间：它是一个虚拟参数，定义为雷电流波头达到10%峰值到90%峰值时间间隔的1.25倍。</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13.短雷击电流的视在原点：连接雷电流波头10%和90%峰值两参考点的直线与时间轴的交点。它位于雷电流达到10%峰值时刻之前0.1T1处。</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14.短雷击电流的半值时间：它是一个虚拟参数，定义为视在原点O1到雷电流下降至峰值一半时的时间间隔。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15.雷闪持续时间：雷电流流过雷击点的时间。</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16.长雷击电流的持续时间：长雷击电流的持续时间是连续电流在上升沿升到峰值的10%时至下降沿连续电流降到峰值10%时的时间间隔。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17.雷闪电荷：整个雷闪持续期间雷电流对时间的积分。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18.短雷击电荷：一次短雷击中雷电流对时间的积分。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19.长时雷击的电荷：一次长雷击中雷电流对时间的积分。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20.单位能量：雷电流的平方在整个雷闪持续期内对时间的积分。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21.短雷击电流的单位能量：雷电流的平方在短雷击持续期内的时间积分。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22.被保护的建筑物：按照本标准，为防御雷电影响而需要保护的建筑物。</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23.线路：连接到被保护建筑物的电源线或者通信线。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24.通信线：多个独立建筑物中设备之间的通信线，例如电话线和数据线。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25.电源线：输送电能到建筑物使其内部电气和电子设备运行的配电线路，例如低压（LV）或高压（LV）电源干线。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26.击中建筑物的雷闪：击中被保护建筑物的雷闪。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27.击中建筑物附近的雷闪：击中被保护建筑物附近且可能对被保护建筑物产生危险过电压的雷闪。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28.物理损害：由于雷电的机械、热、化学或爆炸等效应对建筑物（或其内物体）所造成的损害。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29.人和动物的伤害：雷电引起的接触电压和跨步电压对人和动物的伤害, 包括死亡。</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30.电气和电子系统的失效：由于雷电电磁脉冲（LEMP）导致电气和电子系统的永久性损害。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31.雷电电磁脉冲：雷电流经电阻、电感和电容耦合形成的电磁效应，它产生浪涌和辐射电磁场。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32.风险：雷电造成的年均可能损失（人员和货物）与受保护对象的总价值（人员和货物）之比。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33.风险容限：受保护对象所能容许的最大风险值。</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34.雷电防护水平：与一组雷电流参数值有关的序数，该组参数值与在自然界发生雷电时最大和最小设计值不被超出的概率有关。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35.防雷措施：为减小受保护对象雷电损害风险而采取的措施。</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36.防雷系统：用来减小雷击建筑物造成物理损害的整个系统。</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37.雷电防护：用于被保护建筑物防御雷电的整个系统，包括建筑物内部系统和物体、人员，一般由LPS和SPM组成。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38.接闪器系统：外部LPS组成部分，用金属部件，如避雷针、避雷网或避雷线构成，用于接闪。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39.引下线系统：外部LPS组成部分，用来把雷电流从接闪器系统引至接地体系统。</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40.接地体系统：外部LPS的组成部分，用于把雷电流引导并散入大地。</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41.外部导电部件：进出受保护建筑物的金属延伸部件，如管道、电缆金属部件、金属线槽等，它们可以流过部分雷电流。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42.雷电等电位连接：为减少雷电流引起的电位差，直接用导体或通过浪涌保护器把分离的金属部件连接到LPS上的一种防雷措施。</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43.磁屏蔽：用于减少电气和电子系统的失效， 包围受保护对象或其一部分的格栅或连续型的闭合金属屏蔽体。</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44.</w:t>
      </w:r>
      <w:r>
        <w:rPr>
          <w:rFonts w:ascii="Times New Roman" w:hAnsi="Times New Roman" w:cs="Times New Roman"/>
          <w:color w:val="000000"/>
        </w:rPr>
        <w:t>能量配合的SPD防护系统</w:t>
      </w:r>
      <w:r>
        <w:rPr>
          <w:rFonts w:hint="eastAsia" w:ascii="Times New Roman" w:hAnsi="Times New Roman" w:cs="Times New Roman"/>
          <w:color w:val="000000"/>
        </w:rPr>
        <w:t>：为了减少电气和电子系统失效而适当选择、能量配合并装配起来的一组SPD。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45.</w:t>
      </w:r>
      <w:r>
        <w:rPr>
          <w:rFonts w:ascii="Times New Roman" w:hAnsi="Times New Roman" w:cs="Times New Roman"/>
          <w:color w:val="000000"/>
        </w:rPr>
        <w:t>额定冲击耐受电压</w:t>
      </w:r>
      <w:r>
        <w:rPr>
          <w:rFonts w:hint="eastAsia" w:ascii="Times New Roman" w:hAnsi="Times New Roman" w:cs="Times New Roman"/>
          <w:color w:val="000000"/>
        </w:rPr>
        <w:t>：由厂家给设备或其部件指定的冲击耐受电压，用以表征其绝缘对过电压的规定耐受能力。</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46.</w:t>
      </w:r>
      <w:r>
        <w:rPr>
          <w:rFonts w:ascii="Times New Roman" w:hAnsi="Times New Roman" w:cs="Times New Roman"/>
          <w:color w:val="000000"/>
        </w:rPr>
        <w:t>协调配合的SPD系统</w:t>
      </w:r>
      <w:r>
        <w:rPr>
          <w:rFonts w:hint="eastAsia" w:ascii="Times New Roman" w:hAnsi="Times New Roman" w:cs="Times New Roman"/>
          <w:color w:val="000000"/>
        </w:rPr>
        <w:t>：为了减少电气和电子系统的失效而适当选择、能量配合并装配起来组成系统的SPD。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47.</w:t>
      </w:r>
      <w:r>
        <w:rPr>
          <w:rFonts w:ascii="Times New Roman" w:hAnsi="Times New Roman" w:cs="Times New Roman"/>
          <w:color w:val="000000"/>
        </w:rPr>
        <w:t>额定冲击耐受电压</w:t>
      </w:r>
      <w:r>
        <w:rPr>
          <w:rFonts w:hint="eastAsia" w:ascii="Times New Roman" w:hAnsi="Times New Roman" w:cs="Times New Roman"/>
          <w:color w:val="000000"/>
        </w:rPr>
        <w:t>：由厂家给设备或其部件指定的冲击耐受电压，用以表征其绝缘对过电压的规定耐受能力。</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48.</w:t>
      </w:r>
      <w:r>
        <w:rPr>
          <w:rFonts w:ascii="Times New Roman" w:hAnsi="Times New Roman" w:cs="Times New Roman"/>
          <w:color w:val="000000"/>
        </w:rPr>
        <w:t>隔离界面</w:t>
      </w:r>
      <w:r>
        <w:rPr>
          <w:rFonts w:hint="eastAsia" w:ascii="Times New Roman" w:hAnsi="Times New Roman" w:cs="Times New Roman"/>
          <w:color w:val="000000"/>
        </w:rPr>
        <w:t>：能够减小进入LPZ的线路中传导浪涌的装置。</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49.</w:t>
      </w:r>
      <w:r>
        <w:rPr>
          <w:rFonts w:ascii="Times New Roman" w:hAnsi="Times New Roman" w:cs="Times New Roman"/>
          <w:color w:val="000000"/>
        </w:rPr>
        <w:t>雷电防护系统</w:t>
      </w:r>
      <w:r>
        <w:rPr>
          <w:rFonts w:hint="eastAsia" w:ascii="Times New Roman" w:hAnsi="Times New Roman" w:cs="Times New Roman"/>
          <w:color w:val="000000"/>
        </w:rPr>
        <w:t>：</w:t>
      </w:r>
      <w:r>
        <w:rPr>
          <w:rFonts w:ascii="Times New Roman" w:hAnsi="Times New Roman" w:cs="Times New Roman"/>
          <w:color w:val="000000"/>
        </w:rPr>
        <w:t>用以减少某一建筑物因雷击</w:t>
      </w:r>
      <w:r>
        <w:rPr>
          <w:rFonts w:hint="eastAsia" w:ascii="Times New Roman" w:hAnsi="Times New Roman" w:cs="Times New Roman"/>
          <w:color w:val="000000"/>
        </w:rPr>
        <w:t>引起</w:t>
      </w:r>
      <w:r>
        <w:rPr>
          <w:rFonts w:ascii="Times New Roman" w:hAnsi="Times New Roman" w:cs="Times New Roman"/>
          <w:color w:val="000000"/>
        </w:rPr>
        <w:t>物理损坏的</w:t>
      </w:r>
      <w:r>
        <w:rPr>
          <w:rFonts w:hint="eastAsia" w:ascii="Times New Roman" w:hAnsi="Times New Roman" w:cs="Times New Roman"/>
          <w:color w:val="000000"/>
        </w:rPr>
        <w:t>整</w:t>
      </w:r>
      <w:r>
        <w:rPr>
          <w:rFonts w:ascii="Times New Roman" w:hAnsi="Times New Roman" w:cs="Times New Roman"/>
          <w:color w:val="000000"/>
        </w:rPr>
        <w:t>套</w:t>
      </w:r>
      <w:r>
        <w:rPr>
          <w:rFonts w:hint="eastAsia" w:ascii="Times New Roman" w:hAnsi="Times New Roman" w:cs="Times New Roman"/>
          <w:color w:val="000000"/>
        </w:rPr>
        <w:t>系统</w:t>
      </w:r>
      <w:r>
        <w:rPr>
          <w:rFonts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50.外部防雷装置：LPS的一部分，由接闪器、引下线、接地装置组成。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51.与受保护建筑物分离的外部LPS：由接闪器和引下线组成的LPS，其安装位置使雷电流通道与受保护建筑物没有任何接触。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52.</w:t>
      </w:r>
      <w:r>
        <w:rPr>
          <w:rFonts w:ascii="Times New Roman" w:hAnsi="Times New Roman" w:cs="Times New Roman"/>
          <w:color w:val="000000"/>
        </w:rPr>
        <w:t>与受保护建筑物</w:t>
      </w:r>
      <w:r>
        <w:rPr>
          <w:rFonts w:hint="eastAsia" w:ascii="Times New Roman" w:hAnsi="Times New Roman" w:cs="Times New Roman"/>
          <w:color w:val="000000"/>
        </w:rPr>
        <w:t>非</w:t>
      </w:r>
      <w:r>
        <w:rPr>
          <w:rFonts w:ascii="Times New Roman" w:hAnsi="Times New Roman" w:cs="Times New Roman"/>
          <w:color w:val="000000"/>
        </w:rPr>
        <w:t>分离的外部</w:t>
      </w:r>
      <w:r>
        <w:rPr>
          <w:rFonts w:hint="eastAsia" w:ascii="Times New Roman" w:hAnsi="Times New Roman" w:cs="Times New Roman"/>
          <w:color w:val="000000"/>
        </w:rPr>
        <w:t>LPS：LPS的一部分，由雷电等电位连接和外部LPS电气绝缘组成。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53.</w:t>
      </w:r>
      <w:r>
        <w:rPr>
          <w:rFonts w:ascii="Times New Roman" w:hAnsi="Times New Roman" w:cs="Times New Roman"/>
          <w:color w:val="000000"/>
        </w:rPr>
        <w:t>内部防雷装置</w:t>
      </w:r>
      <w:r>
        <w:rPr>
          <w:rFonts w:hint="eastAsia" w:ascii="Times New Roman" w:hAnsi="Times New Roman" w:cs="Times New Roman"/>
          <w:color w:val="000000"/>
        </w:rPr>
        <w:t>：LPS的一部分，由雷电等电位连接和外部LPS电气绝缘组成。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54.</w:t>
      </w:r>
      <w:r>
        <w:rPr>
          <w:rFonts w:ascii="Times New Roman" w:hAnsi="Times New Roman" w:cs="Times New Roman"/>
          <w:color w:val="000000"/>
        </w:rPr>
        <w:t>接闪器</w:t>
      </w:r>
      <w:r>
        <w:rPr>
          <w:rFonts w:hint="eastAsia" w:ascii="Times New Roman" w:hAnsi="Times New Roman" w:cs="Times New Roman"/>
          <w:color w:val="000000"/>
        </w:rPr>
        <w:t>：</w:t>
      </w:r>
      <w:r>
        <w:rPr>
          <w:rFonts w:ascii="Times New Roman" w:hAnsi="Times New Roman" w:cs="Times New Roman"/>
          <w:color w:val="000000"/>
        </w:rPr>
        <w:t>外部</w:t>
      </w:r>
      <w:r>
        <w:rPr>
          <w:rFonts w:hint="eastAsia" w:ascii="Times New Roman" w:hAnsi="Times New Roman" w:cs="Times New Roman"/>
          <w:color w:val="000000"/>
        </w:rPr>
        <w:t>LPS</w:t>
      </w:r>
      <w:r>
        <w:rPr>
          <w:rFonts w:ascii="Times New Roman" w:hAnsi="Times New Roman" w:cs="Times New Roman"/>
          <w:color w:val="000000"/>
        </w:rPr>
        <w:t>的一部分，</w:t>
      </w:r>
      <w:r>
        <w:rPr>
          <w:rFonts w:hint="eastAsia" w:ascii="Times New Roman" w:hAnsi="Times New Roman" w:cs="Times New Roman"/>
          <w:color w:val="000000"/>
        </w:rPr>
        <w:t>用于</w:t>
      </w:r>
      <w:r>
        <w:rPr>
          <w:rFonts w:ascii="Times New Roman" w:hAnsi="Times New Roman" w:cs="Times New Roman"/>
          <w:color w:val="000000"/>
        </w:rPr>
        <w:t>截</w:t>
      </w:r>
      <w:r>
        <w:rPr>
          <w:rFonts w:hint="eastAsia" w:ascii="Times New Roman" w:hAnsi="Times New Roman" w:cs="Times New Roman"/>
          <w:color w:val="000000"/>
        </w:rPr>
        <w:t>收雷击的金属构件，如杆状接闪器、网格导线或悬链线。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55.</w:t>
      </w:r>
      <w:r>
        <w:rPr>
          <w:rFonts w:ascii="Times New Roman" w:hAnsi="Times New Roman" w:cs="Times New Roman"/>
          <w:color w:val="000000"/>
        </w:rPr>
        <w:t>引下线</w:t>
      </w:r>
      <w:r>
        <w:rPr>
          <w:rFonts w:hint="eastAsia" w:ascii="Times New Roman" w:hAnsi="Times New Roman" w:cs="Times New Roman"/>
          <w:color w:val="000000"/>
        </w:rPr>
        <w:t>：外部LPS</w:t>
      </w:r>
      <w:r>
        <w:rPr>
          <w:rFonts w:ascii="Times New Roman" w:hAnsi="Times New Roman" w:cs="Times New Roman"/>
          <w:color w:val="000000"/>
        </w:rPr>
        <w:t>的一部分，</w:t>
      </w:r>
      <w:r>
        <w:rPr>
          <w:rFonts w:hint="eastAsia" w:ascii="Times New Roman" w:hAnsi="Times New Roman" w:cs="Times New Roman"/>
          <w:color w:val="000000"/>
        </w:rPr>
        <w:t>将接闪器雷电流传导至接地装置</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56.</w:t>
      </w:r>
      <w:r>
        <w:rPr>
          <w:rFonts w:ascii="Times New Roman" w:hAnsi="Times New Roman" w:cs="Times New Roman"/>
          <w:color w:val="000000"/>
        </w:rPr>
        <w:t>环形导体</w:t>
      </w:r>
      <w:r>
        <w:rPr>
          <w:rFonts w:hint="eastAsia" w:ascii="Times New Roman" w:hAnsi="Times New Roman" w:cs="Times New Roman"/>
          <w:color w:val="000000"/>
        </w:rPr>
        <w:t>：</w:t>
      </w:r>
      <w:r>
        <w:rPr>
          <w:rFonts w:ascii="Times New Roman" w:hAnsi="Times New Roman" w:cs="Times New Roman"/>
          <w:color w:val="000000"/>
        </w:rPr>
        <w:t>围绕建筑物四周形成一个回路的导体，与引下线相连，分散雷电流。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57.</w:t>
      </w: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外部LPS的一部分，将雷电流传导和分散入地</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58.</w:t>
      </w:r>
      <w:r>
        <w:rPr>
          <w:rFonts w:ascii="Times New Roman" w:hAnsi="Times New Roman" w:cs="Times New Roman"/>
          <w:color w:val="000000"/>
        </w:rPr>
        <w:t>接地极</w:t>
      </w:r>
      <w:r>
        <w:rPr>
          <w:rFonts w:hint="eastAsia" w:ascii="Times New Roman" w:hAnsi="Times New Roman" w:cs="Times New Roman"/>
          <w:color w:val="000000"/>
        </w:rPr>
        <w:t>：</w:t>
      </w: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的一部分，通过它与大地直接相连，并将雷电流分散入地。</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59.</w:t>
      </w:r>
      <w:r>
        <w:rPr>
          <w:rFonts w:ascii="Times New Roman" w:hAnsi="Times New Roman" w:cs="Times New Roman"/>
          <w:color w:val="000000"/>
        </w:rPr>
        <w:t>环形接地极</w:t>
      </w:r>
      <w:r>
        <w:rPr>
          <w:rFonts w:hint="eastAsia" w:ascii="Times New Roman" w:hAnsi="Times New Roman" w:cs="Times New Roman"/>
          <w:color w:val="000000"/>
        </w:rPr>
        <w:t>：在</w:t>
      </w:r>
      <w:r>
        <w:rPr>
          <w:rFonts w:ascii="Times New Roman" w:hAnsi="Times New Roman" w:cs="Times New Roman"/>
          <w:color w:val="000000"/>
        </w:rPr>
        <w:t>建筑物四周</w:t>
      </w:r>
      <w:r>
        <w:rPr>
          <w:rFonts w:hint="eastAsia" w:ascii="Times New Roman" w:hAnsi="Times New Roman" w:cs="Times New Roman"/>
          <w:color w:val="000000"/>
        </w:rPr>
        <w:t>的</w:t>
      </w:r>
      <w:r>
        <w:rPr>
          <w:rFonts w:ascii="Times New Roman" w:hAnsi="Times New Roman" w:cs="Times New Roman"/>
          <w:color w:val="000000"/>
        </w:rPr>
        <w:t>土壤下层或地表形成一个封闭回路的接地极。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60.</w:t>
      </w:r>
      <w:r>
        <w:rPr>
          <w:rFonts w:ascii="Times New Roman" w:hAnsi="Times New Roman" w:cs="Times New Roman"/>
          <w:color w:val="000000"/>
        </w:rPr>
        <w:t>基础接地极</w:t>
      </w:r>
      <w:r>
        <w:rPr>
          <w:rFonts w:hint="eastAsia" w:ascii="Times New Roman" w:hAnsi="Times New Roman" w:cs="Times New Roman"/>
          <w:color w:val="000000"/>
        </w:rPr>
        <w:t>：</w:t>
      </w:r>
      <w:r>
        <w:rPr>
          <w:rFonts w:ascii="Times New Roman" w:hAnsi="Times New Roman" w:cs="Times New Roman"/>
          <w:color w:val="000000"/>
        </w:rPr>
        <w:t>指地基的混凝土钢筋或预埋在建筑物混凝土中用作接地极的其它导体</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61.常规接地阻抗：</w:t>
      </w:r>
      <w:r>
        <w:rPr>
          <w:rFonts w:ascii="Times New Roman" w:hAnsi="Times New Roman" w:cs="Times New Roman"/>
          <w:color w:val="000000"/>
        </w:rPr>
        <w:t>接地</w:t>
      </w:r>
      <w:r>
        <w:rPr>
          <w:rFonts w:hint="eastAsia" w:ascii="Times New Roman" w:hAnsi="Times New Roman" w:cs="Times New Roman"/>
          <w:color w:val="000000"/>
        </w:rPr>
        <w:t>体</w:t>
      </w:r>
      <w:r>
        <w:rPr>
          <w:rFonts w:ascii="Times New Roman" w:hAnsi="Times New Roman" w:cs="Times New Roman"/>
          <w:color w:val="000000"/>
        </w:rPr>
        <w:t>电压峰值与电流峰值的比值</w:t>
      </w:r>
      <w:r>
        <w:rPr>
          <w:rFonts w:hint="eastAsia" w:ascii="Times New Roman" w:hAnsi="Times New Roman" w:cs="Times New Roman"/>
          <w:color w:val="000000"/>
        </w:rPr>
        <w:t>。通常两者</w:t>
      </w:r>
      <w:r>
        <w:rPr>
          <w:rFonts w:ascii="Times New Roman" w:hAnsi="Times New Roman" w:cs="Times New Roman"/>
          <w:color w:val="000000"/>
        </w:rPr>
        <w:t>峰值不会同时出现</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62.</w:t>
      </w: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电压</w:t>
      </w:r>
      <w:r>
        <w:rPr>
          <w:rFonts w:hint="eastAsia" w:ascii="Times New Roman" w:hAnsi="Times New Roman" w:cs="Times New Roman"/>
          <w:color w:val="000000"/>
        </w:rPr>
        <w:t>：</w:t>
      </w:r>
      <w:r>
        <w:rPr>
          <w:rFonts w:ascii="Times New Roman" w:hAnsi="Times New Roman" w:cs="Times New Roman"/>
          <w:color w:val="000000"/>
        </w:rPr>
        <w:t>接地装置与远方大地间的电位差。</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w:t>
      </w:r>
      <w:r>
        <w:rPr>
          <w:rFonts w:hint="eastAsia" w:ascii="Times New Roman" w:hAnsi="Times New Roman" w:cs="Times New Roman"/>
          <w:color w:val="000000"/>
        </w:rPr>
        <w:t>15《雷电防护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63.</w:t>
      </w:r>
      <w:r>
        <w:rPr>
          <w:rFonts w:ascii="Times New Roman" w:hAnsi="Times New Roman" w:cs="Times New Roman"/>
          <w:color w:val="000000"/>
        </w:rPr>
        <w:t>LPS的自然构件</w:t>
      </w:r>
      <w:r>
        <w:rPr>
          <w:rFonts w:hint="eastAsia" w:ascii="Times New Roman" w:hAnsi="Times New Roman" w:cs="Times New Roman"/>
          <w:color w:val="000000"/>
        </w:rPr>
        <w:t>：不是为防雷而专门安装的导电</w:t>
      </w:r>
      <w:r>
        <w:rPr>
          <w:rFonts w:ascii="Times New Roman" w:hAnsi="Times New Roman" w:cs="Times New Roman"/>
          <w:color w:val="000000"/>
        </w:rPr>
        <w:t>部件，</w:t>
      </w:r>
      <w:r>
        <w:rPr>
          <w:rFonts w:hint="eastAsia" w:ascii="Times New Roman" w:hAnsi="Times New Roman" w:cs="Times New Roman"/>
          <w:color w:val="000000"/>
        </w:rPr>
        <w:t>可</w:t>
      </w:r>
      <w:r>
        <w:rPr>
          <w:rFonts w:ascii="Times New Roman" w:hAnsi="Times New Roman" w:cs="Times New Roman"/>
          <w:color w:val="000000"/>
        </w:rPr>
        <w:t>用于LPS</w:t>
      </w:r>
      <w:r>
        <w:rPr>
          <w:rFonts w:hint="eastAsia" w:ascii="Times New Roman" w:hAnsi="Times New Roman" w:cs="Times New Roman"/>
          <w:color w:val="000000"/>
        </w:rPr>
        <w:t>，或</w:t>
      </w:r>
      <w:r>
        <w:rPr>
          <w:rFonts w:ascii="Times New Roman" w:hAnsi="Times New Roman" w:cs="Times New Roman"/>
          <w:color w:val="000000"/>
        </w:rPr>
        <w:t>在某些情况下，能具备LPS的一个或几个功能</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64.</w:t>
      </w:r>
      <w:r>
        <w:rPr>
          <w:rFonts w:ascii="Times New Roman" w:hAnsi="Times New Roman" w:cs="Times New Roman"/>
          <w:color w:val="000000"/>
        </w:rPr>
        <w:t>连接部件</w:t>
      </w:r>
      <w:r>
        <w:rPr>
          <w:rFonts w:hint="eastAsia" w:ascii="Times New Roman" w:hAnsi="Times New Roman" w:cs="Times New Roman"/>
          <w:color w:val="000000"/>
        </w:rPr>
        <w:t>：</w:t>
      </w:r>
      <w:r>
        <w:rPr>
          <w:rFonts w:ascii="Times New Roman" w:hAnsi="Times New Roman" w:cs="Times New Roman"/>
          <w:color w:val="000000"/>
        </w:rPr>
        <w:t>外部LPS的一部分，用于导体</w:t>
      </w:r>
      <w:r>
        <w:rPr>
          <w:rFonts w:hint="eastAsia" w:ascii="Times New Roman" w:hAnsi="Times New Roman" w:cs="Times New Roman"/>
          <w:color w:val="000000"/>
        </w:rPr>
        <w:t>间连接</w:t>
      </w:r>
      <w:r>
        <w:rPr>
          <w:rFonts w:ascii="Times New Roman" w:hAnsi="Times New Roman" w:cs="Times New Roman"/>
          <w:color w:val="000000"/>
        </w:rPr>
        <w:t>或连接到金属装置</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65.</w:t>
      </w:r>
      <w:r>
        <w:rPr>
          <w:rFonts w:ascii="Times New Roman" w:hAnsi="Times New Roman" w:cs="Times New Roman"/>
          <w:color w:val="000000"/>
        </w:rPr>
        <w:t>固定部件</w:t>
      </w:r>
      <w:r>
        <w:rPr>
          <w:rFonts w:hint="eastAsia" w:ascii="Times New Roman" w:hAnsi="Times New Roman" w:cs="Times New Roman"/>
          <w:color w:val="000000"/>
        </w:rPr>
        <w:t>：</w:t>
      </w:r>
      <w:r>
        <w:rPr>
          <w:rFonts w:ascii="Times New Roman" w:hAnsi="Times New Roman" w:cs="Times New Roman"/>
          <w:color w:val="000000"/>
        </w:rPr>
        <w:t>外部LPS中的一部分，用于将LPS部件固定到</w:t>
      </w:r>
      <w:r>
        <w:rPr>
          <w:rFonts w:hint="eastAsia" w:ascii="Times New Roman" w:hAnsi="Times New Roman" w:cs="Times New Roman"/>
          <w:color w:val="000000"/>
        </w:rPr>
        <w:t>受保护建筑物</w:t>
      </w:r>
      <w:r>
        <w:rPr>
          <w:rFonts w:ascii="Times New Roman" w:hAnsi="Times New Roman" w:cs="Times New Roman"/>
          <w:color w:val="000000"/>
        </w:rPr>
        <w:t>上</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66.</w:t>
      </w:r>
      <w:r>
        <w:rPr>
          <w:rFonts w:ascii="Times New Roman" w:hAnsi="Times New Roman" w:cs="Times New Roman"/>
          <w:color w:val="000000"/>
        </w:rPr>
        <w:t>金属装置</w:t>
      </w:r>
      <w:r>
        <w:rPr>
          <w:rFonts w:hint="eastAsia" w:ascii="Times New Roman" w:hAnsi="Times New Roman" w:cs="Times New Roman"/>
          <w:color w:val="000000"/>
        </w:rPr>
        <w:t>：</w:t>
      </w:r>
      <w:r>
        <w:rPr>
          <w:rFonts w:ascii="Times New Roman" w:hAnsi="Times New Roman" w:cs="Times New Roman"/>
          <w:color w:val="000000"/>
        </w:rPr>
        <w:t>受保护建筑物</w:t>
      </w:r>
      <w:r>
        <w:rPr>
          <w:rFonts w:hint="eastAsia" w:ascii="Times New Roman" w:hAnsi="Times New Roman" w:cs="Times New Roman"/>
          <w:color w:val="000000"/>
        </w:rPr>
        <w:t>内部可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，可形成雷电流通道。例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管</w:t>
      </w:r>
      <w:r>
        <w:rPr>
          <w:rFonts w:hint="eastAsia" w:ascii="Times New Roman" w:hAnsi="Times New Roman" w:cs="Times New Roman"/>
          <w:color w:val="000000"/>
        </w:rPr>
        <w:t>道</w:t>
      </w:r>
      <w:r>
        <w:rPr>
          <w:rFonts w:ascii="Times New Roman" w:hAnsi="Times New Roman" w:cs="Times New Roman"/>
          <w:color w:val="000000"/>
        </w:rPr>
        <w:t>、楼梯、电梯扶手、升降机导轨、通风装置、加热或空调管道以及互联钢筋等</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67.</w:t>
      </w:r>
      <w:r>
        <w:rPr>
          <w:rFonts w:ascii="Times New Roman" w:hAnsi="Times New Roman" w:cs="Times New Roman"/>
          <w:color w:val="000000"/>
        </w:rPr>
        <w:t>外部导体构件</w:t>
      </w:r>
      <w:r>
        <w:rPr>
          <w:rFonts w:hint="eastAsia" w:ascii="Times New Roman" w:hAnsi="Times New Roman" w:cs="Times New Roman"/>
          <w:color w:val="000000"/>
        </w:rPr>
        <w:t>：出入受保护建筑物，</w:t>
      </w:r>
      <w:r>
        <w:rPr>
          <w:rFonts w:ascii="Times New Roman" w:hAnsi="Times New Roman" w:cs="Times New Roman"/>
          <w:color w:val="000000"/>
        </w:rPr>
        <w:t>携带部分雷电流</w:t>
      </w:r>
      <w:r>
        <w:rPr>
          <w:rFonts w:hint="eastAsia" w:ascii="Times New Roman" w:hAnsi="Times New Roman" w:cs="Times New Roman"/>
          <w:color w:val="000000"/>
        </w:rPr>
        <w:t>的可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管道、</w:t>
      </w:r>
      <w:r>
        <w:rPr>
          <w:rFonts w:hint="eastAsia" w:ascii="Times New Roman" w:hAnsi="Times New Roman" w:cs="Times New Roman"/>
          <w:color w:val="000000"/>
        </w:rPr>
        <w:t>金属</w:t>
      </w:r>
      <w:r>
        <w:rPr>
          <w:rFonts w:ascii="Times New Roman" w:hAnsi="Times New Roman" w:cs="Times New Roman"/>
          <w:color w:val="000000"/>
        </w:rPr>
        <w:t>电缆、金属导管等</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68.</w:t>
      </w:r>
      <w:r>
        <w:rPr>
          <w:rFonts w:ascii="Times New Roman" w:hAnsi="Times New Roman" w:cs="Times New Roman"/>
          <w:color w:val="000000"/>
        </w:rPr>
        <w:t>电气系统</w:t>
      </w:r>
      <w:r>
        <w:rPr>
          <w:rFonts w:hint="eastAsia" w:ascii="Times New Roman" w:hAnsi="Times New Roman" w:cs="Times New Roman"/>
          <w:color w:val="000000"/>
        </w:rPr>
        <w:t>：装有</w:t>
      </w:r>
      <w:r>
        <w:rPr>
          <w:rFonts w:ascii="Times New Roman" w:hAnsi="Times New Roman" w:cs="Times New Roman"/>
          <w:color w:val="000000"/>
        </w:rPr>
        <w:t>低压</w:t>
      </w:r>
      <w:r>
        <w:rPr>
          <w:rFonts w:hint="eastAsia" w:ascii="Times New Roman" w:hAnsi="Times New Roman" w:cs="Times New Roman"/>
          <w:color w:val="000000"/>
        </w:rPr>
        <w:t>供电部</w:t>
      </w:r>
      <w:r>
        <w:rPr>
          <w:rFonts w:ascii="Times New Roman" w:hAnsi="Times New Roman" w:cs="Times New Roman"/>
          <w:color w:val="000000"/>
        </w:rPr>
        <w:t>件及</w:t>
      </w:r>
      <w:r>
        <w:rPr>
          <w:rFonts w:hint="eastAsia" w:ascii="Times New Roman" w:hAnsi="Times New Roman" w:cs="Times New Roman"/>
          <w:color w:val="000000"/>
        </w:rPr>
        <w:t>可能的</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件的系统</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69.</w:t>
      </w:r>
      <w:r>
        <w:rPr>
          <w:rFonts w:ascii="Times New Roman" w:hAnsi="Times New Roman" w:cs="Times New Roman"/>
          <w:color w:val="000000"/>
        </w:rPr>
        <w:t>电子系统</w:t>
      </w:r>
      <w:r>
        <w:rPr>
          <w:rFonts w:hint="eastAsia" w:ascii="Times New Roman" w:hAnsi="Times New Roman" w:cs="Times New Roman"/>
          <w:color w:val="000000"/>
        </w:rPr>
        <w:t>：装有敏感</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件</w:t>
      </w:r>
      <w:r>
        <w:rPr>
          <w:rFonts w:hint="eastAsia" w:ascii="Times New Roman" w:hAnsi="Times New Roman" w:cs="Times New Roman"/>
          <w:color w:val="000000"/>
        </w:rPr>
        <w:t>的系统</w:t>
      </w:r>
      <w:r>
        <w:rPr>
          <w:rFonts w:ascii="Times New Roman" w:hAnsi="Times New Roman" w:cs="Times New Roman"/>
          <w:color w:val="000000"/>
        </w:rPr>
        <w:t>，</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通信设备、计算机、控制</w:t>
      </w:r>
      <w:r>
        <w:rPr>
          <w:rFonts w:hint="eastAsia" w:ascii="Times New Roman" w:hAnsi="Times New Roman" w:cs="Times New Roman"/>
          <w:color w:val="000000"/>
        </w:rPr>
        <w:t>和</w:t>
      </w:r>
      <w:r>
        <w:rPr>
          <w:rFonts w:ascii="Times New Roman" w:hAnsi="Times New Roman" w:cs="Times New Roman"/>
          <w:color w:val="000000"/>
        </w:rPr>
        <w:t>仪</w:t>
      </w:r>
      <w:r>
        <w:rPr>
          <w:rFonts w:hint="eastAsia" w:ascii="Times New Roman" w:hAnsi="Times New Roman" w:cs="Times New Roman"/>
          <w:color w:val="000000"/>
        </w:rPr>
        <w:t>表</w:t>
      </w:r>
      <w:r>
        <w:rPr>
          <w:rFonts w:ascii="Times New Roman" w:hAnsi="Times New Roman" w:cs="Times New Roman"/>
          <w:color w:val="000000"/>
        </w:rPr>
        <w:t>系统、无线电系统和电</w:t>
      </w:r>
      <w:r>
        <w:rPr>
          <w:rFonts w:hint="eastAsia" w:ascii="Times New Roman" w:hAnsi="Times New Roman" w:cs="Times New Roman"/>
          <w:color w:val="000000"/>
        </w:rPr>
        <w:t>力</w:t>
      </w:r>
      <w:r>
        <w:rPr>
          <w:rFonts w:ascii="Times New Roman" w:hAnsi="Times New Roman" w:cs="Times New Roman"/>
          <w:color w:val="000000"/>
        </w:rPr>
        <w:t>电子</w:t>
      </w:r>
      <w:r>
        <w:rPr>
          <w:rFonts w:hint="eastAsia" w:ascii="Times New Roman" w:hAnsi="Times New Roman" w:cs="Times New Roman"/>
          <w:color w:val="000000"/>
        </w:rPr>
        <w:t>设备等。</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70.雷电</w:t>
      </w:r>
      <w:r>
        <w:rPr>
          <w:rFonts w:ascii="Times New Roman" w:hAnsi="Times New Roman" w:cs="Times New Roman"/>
          <w:color w:val="000000"/>
        </w:rPr>
        <w:t>等电位连接</w:t>
      </w:r>
      <w:r>
        <w:rPr>
          <w:rFonts w:hint="eastAsia" w:ascii="Times New Roman" w:hAnsi="Times New Roman" w:cs="Times New Roman"/>
          <w:color w:val="000000"/>
        </w:rPr>
        <w:t>(EB)：连接至分离导电部件的LPS。直接连接或通过浪涌保护器连接，可</w:t>
      </w:r>
      <w:r>
        <w:rPr>
          <w:rFonts w:ascii="Times New Roman" w:hAnsi="Times New Roman" w:cs="Times New Roman"/>
          <w:color w:val="000000"/>
        </w:rPr>
        <w:t>减小雷电流产生的电位差</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71.</w:t>
      </w:r>
      <w:r>
        <w:rPr>
          <w:rFonts w:ascii="Times New Roman" w:hAnsi="Times New Roman" w:cs="Times New Roman"/>
          <w:color w:val="000000"/>
        </w:rPr>
        <w:t>等电位</w:t>
      </w:r>
      <w:r>
        <w:rPr>
          <w:rFonts w:hint="eastAsia" w:ascii="Times New Roman" w:hAnsi="Times New Roman" w:cs="Times New Roman"/>
          <w:color w:val="000000"/>
        </w:rPr>
        <w:t>连接排：为了</w:t>
      </w:r>
      <w:r>
        <w:rPr>
          <w:rFonts w:ascii="Times New Roman" w:hAnsi="Times New Roman" w:cs="Times New Roman"/>
          <w:color w:val="000000"/>
        </w:rPr>
        <w:t>防雷装置做等电位连接</w:t>
      </w:r>
      <w:r>
        <w:rPr>
          <w:rFonts w:hint="eastAsia" w:ascii="Times New Roman" w:hAnsi="Times New Roman" w:cs="Times New Roman"/>
          <w:color w:val="000000"/>
        </w:rPr>
        <w:t>，需要接地的</w:t>
      </w:r>
      <w:r>
        <w:rPr>
          <w:rFonts w:ascii="Times New Roman" w:hAnsi="Times New Roman" w:cs="Times New Roman"/>
          <w:color w:val="000000"/>
        </w:rPr>
        <w:t>金属装置、</w:t>
      </w:r>
      <w:r>
        <w:rPr>
          <w:rFonts w:hint="eastAsia" w:ascii="Times New Roman" w:hAnsi="Times New Roman" w:cs="Times New Roman"/>
          <w:color w:val="000000"/>
        </w:rPr>
        <w:t>外部导电部件</w:t>
      </w:r>
      <w:r>
        <w:rPr>
          <w:rFonts w:ascii="Times New Roman" w:hAnsi="Times New Roman" w:cs="Times New Roman"/>
          <w:color w:val="000000"/>
        </w:rPr>
        <w:t>、电力线路、通信线路及其它电缆</w:t>
      </w:r>
      <w:r>
        <w:rPr>
          <w:rFonts w:hint="eastAsia" w:ascii="Times New Roman" w:hAnsi="Times New Roman" w:cs="Times New Roman"/>
          <w:color w:val="000000"/>
        </w:rPr>
        <w:t>可与之</w:t>
      </w:r>
      <w:r>
        <w:rPr>
          <w:rFonts w:ascii="Times New Roman" w:hAnsi="Times New Roman" w:cs="Times New Roman"/>
          <w:color w:val="000000"/>
        </w:rPr>
        <w:t>连</w:t>
      </w:r>
      <w:r>
        <w:rPr>
          <w:rFonts w:hint="eastAsia" w:ascii="Times New Roman" w:hAnsi="Times New Roman" w:cs="Times New Roman"/>
          <w:color w:val="000000"/>
        </w:rPr>
        <w:t>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72.</w:t>
      </w:r>
      <w:r>
        <w:rPr>
          <w:rFonts w:ascii="Times New Roman" w:hAnsi="Times New Roman" w:cs="Times New Roman"/>
          <w:color w:val="000000"/>
        </w:rPr>
        <w:t>连接导体</w:t>
      </w:r>
      <w:r>
        <w:rPr>
          <w:rFonts w:hint="eastAsia" w:ascii="Times New Roman" w:hAnsi="Times New Roman" w:cs="Times New Roman"/>
          <w:color w:val="000000"/>
        </w:rPr>
        <w:t>：用于</w:t>
      </w:r>
      <w:r>
        <w:rPr>
          <w:rFonts w:ascii="Times New Roman" w:hAnsi="Times New Roman" w:cs="Times New Roman"/>
          <w:color w:val="000000"/>
        </w:rPr>
        <w:t>将</w:t>
      </w:r>
      <w:r>
        <w:rPr>
          <w:rFonts w:hint="eastAsia" w:ascii="Times New Roman" w:hAnsi="Times New Roman" w:cs="Times New Roman"/>
          <w:color w:val="000000"/>
        </w:rPr>
        <w:t>分离导电部件与LPS进行连接的导体。</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73.</w:t>
      </w:r>
      <w:r>
        <w:rPr>
          <w:rFonts w:ascii="Times New Roman" w:hAnsi="Times New Roman" w:cs="Times New Roman"/>
          <w:color w:val="000000"/>
        </w:rPr>
        <w:t>互联钢筋</w:t>
      </w:r>
      <w:r>
        <w:rPr>
          <w:rFonts w:hint="eastAsia" w:ascii="Times New Roman" w:hAnsi="Times New Roman" w:cs="Times New Roman"/>
          <w:color w:val="000000"/>
        </w:rPr>
        <w:t>：</w:t>
      </w:r>
      <w:r>
        <w:rPr>
          <w:rFonts w:ascii="Times New Roman" w:hAnsi="Times New Roman" w:cs="Times New Roman"/>
          <w:color w:val="000000"/>
        </w:rPr>
        <w:t>混凝土建筑物内的钢结构，在电气上被认为是连续的</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74.</w:t>
      </w:r>
      <w:r>
        <w:rPr>
          <w:rFonts w:ascii="Times New Roman" w:hAnsi="Times New Roman" w:cs="Times New Roman"/>
          <w:color w:val="000000"/>
        </w:rPr>
        <w:t>危险火花</w:t>
      </w:r>
      <w:r>
        <w:rPr>
          <w:rFonts w:hint="eastAsia" w:ascii="Times New Roman" w:hAnsi="Times New Roman" w:cs="Times New Roman"/>
          <w:color w:val="000000"/>
        </w:rPr>
        <w:t>：</w:t>
      </w:r>
      <w:r>
        <w:rPr>
          <w:rFonts w:ascii="Times New Roman" w:hAnsi="Times New Roman" w:cs="Times New Roman"/>
          <w:color w:val="000000"/>
        </w:rPr>
        <w:t>由雷电引起的放电，</w:t>
      </w:r>
      <w:r>
        <w:rPr>
          <w:rFonts w:hint="eastAsia" w:ascii="Times New Roman" w:hAnsi="Times New Roman" w:cs="Times New Roman"/>
          <w:color w:val="000000"/>
        </w:rPr>
        <w:t>可能会</w:t>
      </w:r>
      <w:r>
        <w:rPr>
          <w:rFonts w:ascii="Times New Roman" w:hAnsi="Times New Roman" w:cs="Times New Roman"/>
          <w:color w:val="000000"/>
        </w:rPr>
        <w:t>对受保护建筑物引起物理损坏。</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75.</w:t>
      </w:r>
      <w:r>
        <w:rPr>
          <w:rFonts w:ascii="Times New Roman" w:hAnsi="Times New Roman" w:cs="Times New Roman"/>
          <w:color w:val="000000"/>
        </w:rPr>
        <w:t>隔距</w:t>
      </w:r>
      <w:r>
        <w:rPr>
          <w:rFonts w:hint="eastAsia" w:ascii="Times New Roman" w:hAnsi="Times New Roman" w:cs="Times New Roman"/>
          <w:color w:val="000000"/>
        </w:rPr>
        <w:t>：</w:t>
      </w:r>
      <w:r>
        <w:rPr>
          <w:rFonts w:ascii="Times New Roman" w:hAnsi="Times New Roman" w:cs="Times New Roman"/>
          <w:color w:val="000000"/>
        </w:rPr>
        <w:t>使两个导体之间不会出现危险火花的距离</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76.</w:t>
      </w:r>
      <w:r>
        <w:rPr>
          <w:rFonts w:ascii="Times New Roman" w:hAnsi="Times New Roman" w:cs="Times New Roman"/>
          <w:color w:val="000000"/>
        </w:rPr>
        <w:t>浪涌保护</w:t>
      </w:r>
      <w:r>
        <w:rPr>
          <w:rFonts w:hint="eastAsia" w:ascii="Times New Roman" w:hAnsi="Times New Roman" w:cs="Times New Roman"/>
          <w:color w:val="000000"/>
        </w:rPr>
        <w:t>器：</w:t>
      </w:r>
      <w:r>
        <w:rPr>
          <w:rFonts w:ascii="Times New Roman" w:hAnsi="Times New Roman" w:cs="Times New Roman"/>
          <w:color w:val="000000"/>
        </w:rPr>
        <w:t>一种用来限制瞬时过电压和</w:t>
      </w:r>
      <w:r>
        <w:rPr>
          <w:rFonts w:hint="eastAsia" w:ascii="Times New Roman" w:hAnsi="Times New Roman" w:cs="Times New Roman"/>
          <w:color w:val="000000"/>
        </w:rPr>
        <w:t>转移浪涌</w:t>
      </w:r>
      <w:r>
        <w:rPr>
          <w:rFonts w:ascii="Times New Roman" w:hAnsi="Times New Roman" w:cs="Times New Roman"/>
          <w:color w:val="000000"/>
        </w:rPr>
        <w:t>电流的</w:t>
      </w:r>
      <w:r>
        <w:rPr>
          <w:rFonts w:hint="eastAsia" w:ascii="Times New Roman" w:hAnsi="Times New Roman" w:cs="Times New Roman"/>
          <w:color w:val="000000"/>
        </w:rPr>
        <w:t>器件，</w:t>
      </w:r>
      <w:r>
        <w:rPr>
          <w:rFonts w:ascii="Times New Roman" w:hAnsi="Times New Roman" w:cs="Times New Roman"/>
          <w:color w:val="000000"/>
        </w:rPr>
        <w:t>它至少包含一个非线性元件</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77.</w:t>
      </w:r>
      <w:r>
        <w:rPr>
          <w:rFonts w:ascii="Times New Roman" w:hAnsi="Times New Roman" w:cs="Times New Roman"/>
          <w:color w:val="000000"/>
        </w:rPr>
        <w:t>测试接头</w:t>
      </w:r>
      <w:r>
        <w:rPr>
          <w:rFonts w:hint="eastAsia" w:ascii="Times New Roman" w:hAnsi="Times New Roman" w:cs="Times New Roman"/>
          <w:color w:val="000000"/>
        </w:rPr>
        <w:t>：</w:t>
      </w:r>
      <w:r>
        <w:rPr>
          <w:rFonts w:ascii="Times New Roman" w:hAnsi="Times New Roman" w:cs="Times New Roman"/>
          <w:color w:val="000000"/>
        </w:rPr>
        <w:t>用于电气测试</w:t>
      </w:r>
      <w:r>
        <w:rPr>
          <w:rFonts w:hint="eastAsia" w:ascii="Times New Roman" w:hAnsi="Times New Roman" w:cs="Times New Roman"/>
          <w:color w:val="000000"/>
        </w:rPr>
        <w:t>和</w:t>
      </w:r>
      <w:r>
        <w:rPr>
          <w:rFonts w:ascii="Times New Roman" w:hAnsi="Times New Roman" w:cs="Times New Roman"/>
          <w:color w:val="000000"/>
        </w:rPr>
        <w:t>LPS部件</w:t>
      </w:r>
      <w:r>
        <w:rPr>
          <w:rFonts w:hint="eastAsia" w:ascii="Times New Roman" w:hAnsi="Times New Roman" w:cs="Times New Roman"/>
          <w:color w:val="000000"/>
        </w:rPr>
        <w:t>测量的点。</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78.</w:t>
      </w:r>
      <w:r>
        <w:rPr>
          <w:rFonts w:ascii="Times New Roman" w:hAnsi="Times New Roman" w:cs="Times New Roman"/>
          <w:color w:val="000000"/>
        </w:rPr>
        <w:t>LPS类型</w:t>
      </w:r>
      <w:r>
        <w:rPr>
          <w:rFonts w:hint="eastAsia" w:ascii="Times New Roman" w:hAnsi="Times New Roman" w:cs="Times New Roman"/>
          <w:color w:val="000000"/>
        </w:rPr>
        <w:t>：</w:t>
      </w:r>
      <w:r>
        <w:rPr>
          <w:rFonts w:ascii="Times New Roman" w:hAnsi="Times New Roman" w:cs="Times New Roman"/>
          <w:color w:val="000000"/>
        </w:rPr>
        <w:t>根据设计中的</w:t>
      </w:r>
      <w:r>
        <w:rPr>
          <w:rFonts w:hint="eastAsia" w:ascii="Times New Roman" w:hAnsi="Times New Roman" w:cs="Times New Roman"/>
          <w:color w:val="000000"/>
        </w:rPr>
        <w:t>雷电防护水平</w:t>
      </w:r>
      <w:r>
        <w:rPr>
          <w:rFonts w:ascii="Times New Roman" w:hAnsi="Times New Roman" w:cs="Times New Roman"/>
          <w:color w:val="000000"/>
        </w:rPr>
        <w:t>，用来标识LPS</w:t>
      </w:r>
      <w:r>
        <w:rPr>
          <w:rFonts w:hint="eastAsia" w:ascii="Times New Roman" w:hAnsi="Times New Roman" w:cs="Times New Roman"/>
          <w:color w:val="000000"/>
        </w:rPr>
        <w:t>分类</w:t>
      </w:r>
      <w:r>
        <w:rPr>
          <w:rFonts w:ascii="Times New Roman" w:hAnsi="Times New Roman" w:cs="Times New Roman"/>
          <w:color w:val="000000"/>
        </w:rPr>
        <w:t>的数字</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79.</w:t>
      </w:r>
      <w:r>
        <w:rPr>
          <w:rFonts w:ascii="Times New Roman" w:hAnsi="Times New Roman" w:cs="Times New Roman"/>
          <w:color w:val="000000"/>
        </w:rPr>
        <w:t>防雷设计人员</w:t>
      </w:r>
      <w:r>
        <w:rPr>
          <w:rFonts w:hint="eastAsia" w:ascii="Times New Roman" w:hAnsi="Times New Roman" w:cs="Times New Roman"/>
          <w:color w:val="000000"/>
        </w:rPr>
        <w:t>：能</w:t>
      </w:r>
      <w:r>
        <w:rPr>
          <w:rFonts w:ascii="Times New Roman" w:hAnsi="Times New Roman" w:cs="Times New Roman"/>
          <w:color w:val="000000"/>
        </w:rPr>
        <w:t>熟练</w:t>
      </w:r>
      <w:r>
        <w:rPr>
          <w:rFonts w:hint="eastAsia" w:ascii="Times New Roman" w:hAnsi="Times New Roman" w:cs="Times New Roman"/>
          <w:color w:val="000000"/>
        </w:rPr>
        <w:t>进行LPS设计的</w:t>
      </w:r>
      <w:r>
        <w:rPr>
          <w:rFonts w:ascii="Times New Roman" w:hAnsi="Times New Roman" w:cs="Times New Roman"/>
          <w:color w:val="000000"/>
        </w:rPr>
        <w:t>专</w:t>
      </w:r>
      <w:r>
        <w:rPr>
          <w:rFonts w:hint="eastAsia" w:ascii="Times New Roman" w:hAnsi="Times New Roman" w:cs="Times New Roman"/>
          <w:color w:val="000000"/>
        </w:rPr>
        <w:t>业人员</w:t>
      </w:r>
      <w:r>
        <w:rPr>
          <w:rFonts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80.</w:t>
      </w:r>
      <w:r>
        <w:rPr>
          <w:rFonts w:ascii="Times New Roman" w:hAnsi="Times New Roman" w:cs="Times New Roman"/>
          <w:color w:val="000000"/>
        </w:rPr>
        <w:t>防雷安装人员</w:t>
      </w:r>
      <w:r>
        <w:rPr>
          <w:rFonts w:hint="eastAsia" w:ascii="Times New Roman" w:hAnsi="Times New Roman" w:cs="Times New Roman"/>
          <w:color w:val="000000"/>
        </w:rPr>
        <w:t>：</w:t>
      </w:r>
      <w:r>
        <w:rPr>
          <w:rFonts w:ascii="Times New Roman" w:hAnsi="Times New Roman" w:cs="Times New Roman"/>
          <w:color w:val="000000"/>
        </w:rPr>
        <w:t>能熟练安装LPS的人员</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81.有爆炸危险的建筑物：储存固体爆炸性材料的建筑物或处于I</w:t>
      </w:r>
      <w:r>
        <w:rPr>
          <w:rFonts w:ascii="Times New Roman" w:hAnsi="Times New Roman" w:cs="Times New Roman"/>
          <w:color w:val="000000"/>
        </w:rPr>
        <w:t>EC 60079-10和IEC 61241-10</w:t>
      </w:r>
      <w:r>
        <w:rPr>
          <w:rFonts w:hint="eastAsia" w:ascii="Times New Roman" w:hAnsi="Times New Roman" w:cs="Times New Roman"/>
          <w:color w:val="000000"/>
        </w:rPr>
        <w:t>中定义的危险区域的建筑物.</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82.固体爆炸性材料:固体化合物、混合物或装置，主要用途或普通用途用于爆炸。</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第3部分：建筑物的物理损坏和生命危险》第D.2.1条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83.0区：由空气和易燃物质混合物（气体、蒸汽或烟雾）组成的爆炸性气体连续存在或长期存在或经常存在的区域。</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84.1区：正常运行期间，由气态易燃物质混合物（煤气、蒸汽或烟雾）组成的爆炸性气体偶尔可能存在的区域。</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第3部分：建筑物的物理损坏和生命危险》第D.2.3条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85.2区：由气态易燃物质混合物（煤气、蒸汽或烟雾）组成的爆炸性气体，正常运行期间不可能出现，如果出现，仅持续短暂时间的区域。</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第3部分：建筑物的物理损坏和生命危险》第D.2.4条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86.20区：空气中含有易燃粉尘爆炸性气体连续存在、长期存在或经常存在的区域。</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87.21区：正常运行期间，空气中含有易燃粉尘爆性气体偶尔可能存在的区域。</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88.22区：空气中含有易燃粉尘爆炸性气体的区域，正常运行期间不可能出现，如果出现，仅持续短暂时间。</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89.</w:t>
      </w:r>
      <w:r>
        <w:rPr>
          <w:rFonts w:ascii="Times New Roman" w:hAnsi="Times New Roman" w:cs="Times New Roman"/>
          <w:color w:val="000000"/>
        </w:rPr>
        <w:t>浪涌</w:t>
      </w:r>
      <w:r>
        <w:rPr>
          <w:rFonts w:hint="eastAsia" w:ascii="Times New Roman" w:hAnsi="Times New Roman" w:cs="Times New Roman"/>
          <w:color w:val="000000"/>
        </w:rPr>
        <w:t>（LEMP）：</w:t>
      </w:r>
      <w:r>
        <w:rPr>
          <w:rFonts w:ascii="Times New Roman" w:hAnsi="Times New Roman" w:cs="Times New Roman"/>
          <w:color w:val="000000"/>
        </w:rPr>
        <w:t>由LEMP引起</w:t>
      </w:r>
      <w:r>
        <w:rPr>
          <w:rFonts w:hint="eastAsia" w:ascii="Times New Roman" w:hAnsi="Times New Roman" w:cs="Times New Roman"/>
          <w:color w:val="000000"/>
        </w:rPr>
        <w:t>的，</w:t>
      </w:r>
      <w:r>
        <w:rPr>
          <w:rFonts w:ascii="Times New Roman" w:hAnsi="Times New Roman" w:cs="Times New Roman"/>
          <w:color w:val="000000"/>
        </w:rPr>
        <w:t>以过电压和/或过电流</w:t>
      </w:r>
      <w:r>
        <w:rPr>
          <w:rFonts w:hint="eastAsia" w:ascii="Times New Roman" w:hAnsi="Times New Roman" w:cs="Times New Roman"/>
          <w:color w:val="000000"/>
        </w:rPr>
        <w:t>形态</w:t>
      </w:r>
      <w:r>
        <w:rPr>
          <w:rFonts w:ascii="Times New Roman" w:hAnsi="Times New Roman" w:cs="Times New Roman"/>
          <w:color w:val="000000"/>
        </w:rPr>
        <w:t>出现的瞬态波</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90.</w:t>
      </w:r>
      <w:r>
        <w:rPr>
          <w:rFonts w:ascii="Times New Roman" w:hAnsi="Times New Roman" w:cs="Times New Roman"/>
          <w:color w:val="000000"/>
        </w:rPr>
        <w:t>额定冲击耐受电压水平（U</w:t>
      </w:r>
      <w:r>
        <w:rPr>
          <w:rFonts w:ascii="Times New Roman" w:hAnsi="Times New Roman" w:cs="Times New Roman"/>
          <w:color w:val="000000"/>
          <w:vertAlign w:val="subscript"/>
        </w:rPr>
        <w:t>w</w:t>
      </w:r>
      <w:r>
        <w:rPr>
          <w:rFonts w:ascii="Times New Roman" w:hAnsi="Times New Roman" w:cs="Times New Roman"/>
          <w:color w:val="000000"/>
        </w:rPr>
        <w:t>）</w:t>
      </w:r>
      <w:r>
        <w:rPr>
          <w:rFonts w:hint="eastAsia" w:ascii="Times New Roman" w:hAnsi="Times New Roman" w:cs="Times New Roman"/>
          <w:color w:val="000000"/>
        </w:rPr>
        <w:t>：由制造商对设备或其某一部件认定的冲击耐受电压，表征其规定的对过电压的抗击穿能力。</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91.</w:t>
      </w:r>
      <w:r>
        <w:rPr>
          <w:rFonts w:ascii="Times New Roman" w:hAnsi="Times New Roman" w:cs="Times New Roman"/>
          <w:color w:val="000000"/>
        </w:rPr>
        <w:t>雷电防护水平（LPL）</w:t>
      </w:r>
      <w:r>
        <w:rPr>
          <w:rFonts w:hint="eastAsia" w:ascii="Times New Roman" w:hAnsi="Times New Roman" w:cs="Times New Roman"/>
          <w:color w:val="000000"/>
        </w:rPr>
        <w:t>：与概率相关的一组雷电流参数数值，其相关的最大和最小设计值不应当超过自然发生的雷电。</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92.</w:t>
      </w:r>
      <w:r>
        <w:rPr>
          <w:rFonts w:ascii="Times New Roman" w:hAnsi="Times New Roman" w:cs="Times New Roman"/>
          <w:color w:val="000000"/>
        </w:rPr>
        <w:t>雷电防护区（LPZ）</w:t>
      </w:r>
      <w:r>
        <w:rPr>
          <w:rFonts w:hint="eastAsia" w:ascii="Times New Roman" w:hAnsi="Times New Roman" w:cs="Times New Roman"/>
          <w:color w:val="000000"/>
        </w:rPr>
        <w:t>：</w:t>
      </w:r>
      <w:r>
        <w:rPr>
          <w:rFonts w:ascii="Times New Roman" w:hAnsi="Times New Roman" w:cs="Times New Roman"/>
          <w:color w:val="000000"/>
        </w:rPr>
        <w:t>规定雷电电磁场环境的区域</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93.</w:t>
      </w:r>
      <w:r>
        <w:rPr>
          <w:rFonts w:ascii="Times New Roman" w:hAnsi="Times New Roman" w:cs="Times New Roman"/>
          <w:color w:val="000000"/>
        </w:rPr>
        <w:t>LEMP防护措施系统（LPMS）</w:t>
      </w:r>
      <w:r>
        <w:rPr>
          <w:rFonts w:hint="eastAsia" w:ascii="Times New Roman" w:hAnsi="Times New Roman" w:cs="Times New Roman"/>
          <w:color w:val="000000"/>
        </w:rPr>
        <w:t>：</w:t>
      </w:r>
      <w:r>
        <w:rPr>
          <w:rFonts w:ascii="Times New Roman" w:hAnsi="Times New Roman" w:cs="Times New Roman"/>
          <w:color w:val="000000"/>
        </w:rPr>
        <w:t>内部系统用来防护LEMP的完整防护措施系统</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94.</w:t>
      </w:r>
      <w:r>
        <w:rPr>
          <w:rFonts w:ascii="Times New Roman" w:hAnsi="Times New Roman" w:cs="Times New Roman"/>
          <w:color w:val="000000"/>
        </w:rPr>
        <w:t>格栅形空间屏蔽</w:t>
      </w:r>
      <w:r>
        <w:rPr>
          <w:rFonts w:hint="eastAsia" w:ascii="Times New Roman" w:hAnsi="Times New Roman" w:cs="Times New Roman"/>
          <w:color w:val="000000"/>
        </w:rPr>
        <w:t>：</w:t>
      </w:r>
      <w:r>
        <w:rPr>
          <w:rFonts w:ascii="Times New Roman" w:hAnsi="Times New Roman" w:cs="Times New Roman"/>
          <w:color w:val="000000"/>
        </w:rPr>
        <w:t>有开孔特征的磁屏蔽</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95.连接</w:t>
      </w:r>
      <w:r>
        <w:rPr>
          <w:rFonts w:ascii="Times New Roman" w:hAnsi="Times New Roman" w:cs="Times New Roman"/>
          <w:color w:val="000000"/>
        </w:rPr>
        <w:t>网络</w:t>
      </w:r>
      <w:r>
        <w:rPr>
          <w:rFonts w:hint="eastAsia" w:ascii="Times New Roman" w:hAnsi="Times New Roman" w:cs="Times New Roman"/>
          <w:color w:val="000000"/>
        </w:rPr>
        <w:t>：建筑物和内部系统所有导体部件（带电导体除外）与接地装置相互连接的网络。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第3.12条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96.</w:t>
      </w:r>
      <w:r>
        <w:rPr>
          <w:rFonts w:ascii="Times New Roman" w:hAnsi="Times New Roman" w:cs="Times New Roman"/>
          <w:color w:val="000000"/>
        </w:rPr>
        <w:t>用I</w:t>
      </w:r>
      <w:r>
        <w:rPr>
          <w:rFonts w:ascii="Times New Roman" w:hAnsi="Times New Roman" w:cs="Times New Roman"/>
          <w:color w:val="000000"/>
          <w:vertAlign w:val="subscript"/>
        </w:rPr>
        <w:t>imp</w:t>
      </w:r>
      <w:r>
        <w:rPr>
          <w:rFonts w:ascii="Times New Roman" w:hAnsi="Times New Roman" w:cs="Times New Roman"/>
          <w:color w:val="000000"/>
        </w:rPr>
        <w:t>测试的SPD</w:t>
      </w:r>
      <w:r>
        <w:rPr>
          <w:rFonts w:hint="eastAsia" w:ascii="Times New Roman" w:hAnsi="Times New Roman" w:cs="Times New Roman"/>
          <w:color w:val="000000"/>
        </w:rPr>
        <w:t>：</w:t>
      </w:r>
      <w:r>
        <w:rPr>
          <w:rFonts w:ascii="Times New Roman" w:hAnsi="Times New Roman" w:cs="Times New Roman"/>
          <w:color w:val="000000"/>
        </w:rPr>
        <w:t>耐受典型波形10/350μs的部分雷电流的SPD，要求一个相应的冲击试验电流I</w:t>
      </w:r>
      <w:r>
        <w:rPr>
          <w:rFonts w:ascii="Times New Roman" w:hAnsi="Times New Roman" w:cs="Times New Roman"/>
          <w:color w:val="000000"/>
          <w:vertAlign w:val="subscript"/>
        </w:rPr>
        <w:t>imp</w:t>
      </w:r>
      <w:r>
        <w:rPr>
          <w:rFonts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-2010</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第3.15条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97.</w:t>
      </w:r>
      <w:r>
        <w:rPr>
          <w:rFonts w:ascii="Times New Roman" w:hAnsi="Times New Roman" w:cs="Times New Roman"/>
          <w:color w:val="000000"/>
        </w:rPr>
        <w:t>用I</w:t>
      </w:r>
      <w:r>
        <w:rPr>
          <w:rFonts w:ascii="Times New Roman" w:hAnsi="Times New Roman" w:cs="Times New Roman"/>
          <w:color w:val="000000"/>
          <w:vertAlign w:val="subscript"/>
        </w:rPr>
        <w:t>n</w:t>
      </w:r>
      <w:r>
        <w:rPr>
          <w:rFonts w:ascii="Times New Roman" w:hAnsi="Times New Roman" w:cs="Times New Roman"/>
          <w:color w:val="000000"/>
        </w:rPr>
        <w:t>测试的SPD</w:t>
      </w:r>
      <w:r>
        <w:rPr>
          <w:rFonts w:hint="eastAsia" w:ascii="Times New Roman" w:hAnsi="Times New Roman" w:cs="Times New Roman"/>
          <w:color w:val="000000"/>
        </w:rPr>
        <w:t>：</w:t>
      </w:r>
      <w:r>
        <w:rPr>
          <w:rFonts w:ascii="Times New Roman" w:hAnsi="Times New Roman" w:cs="Times New Roman"/>
          <w:color w:val="000000"/>
        </w:rPr>
        <w:t>耐受典型波形8/20μs的感应浪涌电流的SPD，要求一个相应的冲击试验电流In。</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第3.16条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98.</w:t>
      </w:r>
      <w:r>
        <w:rPr>
          <w:rFonts w:ascii="Times New Roman" w:hAnsi="Times New Roman" w:cs="Times New Roman"/>
          <w:color w:val="000000"/>
        </w:rPr>
        <w:t>用组合波测试的SPD</w:t>
      </w:r>
      <w:r>
        <w:rPr>
          <w:rFonts w:hint="eastAsia" w:ascii="Times New Roman" w:hAnsi="Times New Roman" w:cs="Times New Roman"/>
          <w:color w:val="000000"/>
        </w:rPr>
        <w:t>（LEMP）：</w:t>
      </w:r>
      <w:r>
        <w:rPr>
          <w:rFonts w:ascii="Times New Roman" w:hAnsi="Times New Roman" w:cs="Times New Roman"/>
          <w:color w:val="000000"/>
        </w:rPr>
        <w:t>耐受典型波形8/20μs的感应浪涌电流的SPD，要求一个相应的冲击试验电流为I</w:t>
      </w:r>
      <w:r>
        <w:rPr>
          <w:rFonts w:ascii="Times New Roman" w:hAnsi="Times New Roman" w:cs="Times New Roman"/>
          <w:color w:val="000000"/>
          <w:vertAlign w:val="subscript"/>
        </w:rPr>
        <w:t>sc</w:t>
      </w:r>
      <w:r>
        <w:rPr>
          <w:rFonts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第3.17条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99.电压开关型SPD：</w:t>
      </w:r>
      <w:r>
        <w:rPr>
          <w:rFonts w:ascii="Times New Roman" w:hAnsi="Times New Roman" w:cs="Times New Roman"/>
          <w:color w:val="000000"/>
        </w:rPr>
        <w:t>无浪涌时呈高阻抗值，但一旦响应电压浪涌时，其阻抗突然变为低值的SPD</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100.</w:t>
      </w:r>
      <w:r>
        <w:rPr>
          <w:rFonts w:ascii="Times New Roman" w:hAnsi="Times New Roman" w:cs="Times New Roman"/>
          <w:color w:val="000000"/>
        </w:rPr>
        <w:t>限压型SPD</w:t>
      </w:r>
      <w:r>
        <w:rPr>
          <w:rFonts w:hint="eastAsia" w:ascii="Times New Roman" w:hAnsi="Times New Roman" w:cs="Times New Roman"/>
          <w:color w:val="000000"/>
        </w:rPr>
        <w:t>：</w:t>
      </w:r>
      <w:r>
        <w:rPr>
          <w:rFonts w:ascii="Times New Roman" w:hAnsi="Times New Roman" w:cs="Times New Roman"/>
          <w:color w:val="000000"/>
        </w:rPr>
        <w:t>无浪涌时呈高阻抗值，但随着浪涌电流和浪涌电压的增加，其阻抗会不断减小的SPD</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101.</w:t>
      </w:r>
      <w:r>
        <w:rPr>
          <w:rFonts w:ascii="Times New Roman" w:hAnsi="Times New Roman" w:cs="Times New Roman"/>
          <w:color w:val="000000"/>
        </w:rPr>
        <w:t>组合型SPD</w:t>
      </w:r>
      <w:r>
        <w:rPr>
          <w:rFonts w:hint="eastAsia" w:ascii="Times New Roman" w:hAnsi="Times New Roman" w:cs="Times New Roman"/>
          <w:color w:val="000000"/>
        </w:rPr>
        <w:t>：</w:t>
      </w:r>
      <w:r>
        <w:rPr>
          <w:rFonts w:ascii="Times New Roman" w:hAnsi="Times New Roman" w:cs="Times New Roman"/>
          <w:color w:val="000000"/>
        </w:rPr>
        <w:t>将电压开关型组件和限压型组件组装在一起的SPD，根据外施电压的特性，SPD显示出电压开关特性、限压特性或者同时具有电压开关特性和限压特性。</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102.</w:t>
      </w:r>
      <w:r>
        <w:rPr>
          <w:rFonts w:ascii="Times New Roman" w:hAnsi="Times New Roman" w:cs="Times New Roman"/>
          <w:color w:val="000000"/>
        </w:rPr>
        <w:t>协调配合的SPD防护</w:t>
      </w:r>
      <w:r>
        <w:rPr>
          <w:rFonts w:hint="eastAsia" w:ascii="Times New Roman" w:hAnsi="Times New Roman" w:cs="Times New Roman"/>
          <w:color w:val="000000"/>
        </w:rPr>
        <w:t>：</w:t>
      </w:r>
      <w:r>
        <w:rPr>
          <w:rFonts w:ascii="Times New Roman" w:hAnsi="Times New Roman" w:cs="Times New Roman"/>
          <w:color w:val="000000"/>
        </w:rPr>
        <w:t>一组经过适当选择、配合和安装，用于减少电气和电子系统的SPD。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numPr>
          <w:numId w:val="0"/>
        </w:numPr>
        <w:rPr>
          <w:rFonts w:hint="eastAsia" w:ascii="黑体" w:hAnsi="黑体" w:eastAsia="黑体" w:cs="黑体"/>
          <w:sz w:val="28"/>
          <w:szCs w:val="36"/>
          <w:lang w:eastAsia="zh-CN"/>
        </w:rPr>
      </w:pPr>
    </w:p>
    <w:p>
      <w:pPr>
        <w:numPr>
          <w:ilvl w:val="0"/>
          <w:numId w:val="3"/>
        </w:numPr>
        <w:ind w:firstLine="560" w:firstLineChars="200"/>
        <w:rPr>
          <w:rFonts w:hint="eastAsia" w:ascii="黑体" w:hAnsi="黑体" w:eastAsia="黑体" w:cs="黑体"/>
          <w:sz w:val="28"/>
          <w:szCs w:val="36"/>
          <w:lang w:eastAsia="zh-CN"/>
        </w:rPr>
      </w:pPr>
      <w:r>
        <w:rPr>
          <w:rFonts w:hint="eastAsia" w:ascii="黑体" w:hAnsi="黑体" w:eastAsia="黑体" w:cs="黑体"/>
          <w:sz w:val="28"/>
          <w:szCs w:val="36"/>
          <w:lang w:eastAsia="zh-CN"/>
        </w:rPr>
        <w:t>填空</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黑体" w:hAnsi="黑体" w:eastAsia="黑体" w:cs="黑体"/>
          <w:sz w:val="28"/>
          <w:szCs w:val="36"/>
          <w:lang w:val="en-US" w:eastAsia="zh-CN"/>
        </w:rPr>
        <w:t xml:space="preserve">    </w:t>
      </w:r>
      <w:r>
        <w:rPr>
          <w:rFonts w:hint="eastAsia" w:ascii="Times New Roman" w:hAnsi="Times New Roman" w:cs="Times New Roman"/>
          <w:color w:val="000000"/>
        </w:rPr>
        <w:t>GB 21714.1-2015《雷电防护 第1部分：总则》提供了建筑物（包括其设施，内部物体以及人员）雷电防护所应遵循的一般原则。以下情况不属于本部分的范围：</w:t>
      </w:r>
      <w:r>
        <w:rPr>
          <w:rFonts w:hint="eastAsia" w:ascii="Times New Roman" w:hAnsi="Times New Roman" w:cs="Times New Roman"/>
          <w:color w:val="000000"/>
          <w:u w:val="single"/>
        </w:rPr>
        <w:t>铁路系统；车辆、船舶、飞行器、离岸设施；</w:t>
      </w:r>
      <w:r>
        <w:rPr>
          <w:rFonts w:hint="eastAsia" w:ascii="Times New Roman" w:hAnsi="Times New Roman" w:cs="Times New Roman"/>
          <w:color w:val="000000"/>
        </w:rPr>
        <w:t>地下高压管道；建筑物外面敷设的管道、电源线和通信线。</w:t>
      </w:r>
    </w:p>
    <w:p>
      <w:pPr>
        <w:pStyle w:val="5"/>
        <w:spacing w:before="0" w:beforeAutospacing="0" w:after="0" w:afterAutospacing="0" w:line="400" w:lineRule="exact"/>
        <w:ind w:left="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第1部分：总则》第1条</w:t>
      </w:r>
    </w:p>
    <w:p>
      <w:pPr>
        <w:pStyle w:val="5"/>
        <w:numPr>
          <w:ilvl w:val="0"/>
          <w:numId w:val="4"/>
        </w:numPr>
        <w:spacing w:before="0" w:beforeAutospacing="0" w:after="0" w:afterAutospacing="0" w:line="400" w:lineRule="exact"/>
        <w:ind w:firstLine="420"/>
        <w:rPr>
          <w:rFonts w:ascii="Times New Roman" w:hAnsi="Times New Roman" w:cs="Times New Roman"/>
          <w:color w:val="000000"/>
          <w:u w:val="single"/>
        </w:rPr>
      </w:pPr>
      <w:r>
        <w:rPr>
          <w:rFonts w:hint="eastAsia" w:ascii="Times New Roman" w:hAnsi="Times New Roman" w:cs="Times New Roman"/>
          <w:color w:val="000000"/>
        </w:rPr>
        <w:t>GB 21714.1-2015《雷电防护 第1部分：总则》提供了建筑物（包括其设施，内部物体以及人员）雷电防护所应遵循的一般原则。以下情况不属于本部分的范围：铁路系统；车辆、船舶、飞行器、离岸设施；</w:t>
      </w:r>
      <w:r>
        <w:rPr>
          <w:rFonts w:hint="eastAsia" w:ascii="Times New Roman" w:hAnsi="Times New Roman" w:cs="Times New Roman"/>
          <w:color w:val="000000"/>
          <w:u w:val="single"/>
        </w:rPr>
        <w:t>地下高压管道；</w:t>
      </w:r>
      <w:r>
        <w:rPr>
          <w:rFonts w:hint="eastAsia" w:ascii="Times New Roman" w:hAnsi="Times New Roman" w:cs="Times New Roman"/>
          <w:color w:val="000000"/>
        </w:rPr>
        <w:t>建筑物外面敷设的管道、电源线和通信线。</w:t>
      </w:r>
    </w:p>
    <w:p>
      <w:pPr>
        <w:pStyle w:val="5"/>
        <w:spacing w:before="0" w:beforeAutospacing="0" w:after="0" w:afterAutospacing="0" w:line="400" w:lineRule="exact"/>
        <w:ind w:left="420"/>
        <w:rPr>
          <w:rFonts w:ascii="Times New Roman" w:hAnsi="Times New Roman" w:cs="Times New Roman"/>
          <w:color w:val="000000"/>
          <w:u w:val="single"/>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第1部分：总则》第1条</w:t>
      </w:r>
    </w:p>
    <w:p>
      <w:pPr>
        <w:pStyle w:val="5"/>
        <w:numPr>
          <w:ilvl w:val="0"/>
          <w:numId w:val="4"/>
        </w:numPr>
        <w:spacing w:before="0" w:beforeAutospacing="0" w:after="0" w:afterAutospacing="0" w:line="400" w:lineRule="exact"/>
        <w:ind w:firstLine="420"/>
        <w:rPr>
          <w:rFonts w:ascii="Times New Roman" w:hAnsi="Times New Roman" w:cs="Times New Roman"/>
          <w:color w:val="000000"/>
          <w:u w:val="single"/>
        </w:rPr>
      </w:pPr>
      <w:r>
        <w:rPr>
          <w:rFonts w:hint="eastAsia" w:ascii="Times New Roman" w:hAnsi="Times New Roman" w:cs="Times New Roman"/>
          <w:color w:val="000000"/>
        </w:rPr>
        <w:t>GB 21714.1-2015《雷电防护 第1部分：总则》提供了建筑物（包括其设施，内部物体以及人员）雷电防护所应遵循的一般原则。以下情况不属于本部分的范围：铁路系统；车辆、船舶、飞行器、离岸设施；地下高压管道；</w:t>
      </w:r>
      <w:r>
        <w:rPr>
          <w:rFonts w:hint="eastAsia" w:ascii="Times New Roman" w:hAnsi="Times New Roman" w:cs="Times New Roman"/>
          <w:color w:val="000000"/>
          <w:u w:val="single"/>
        </w:rPr>
        <w:t>建筑物外面敷设的管道、电源线和通信线。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雷电流是损害源。按雷击点相对于所考察的建筑物的位置，应考虑以下情况：</w:t>
      </w:r>
      <w:r>
        <w:rPr>
          <w:rFonts w:hint="eastAsia" w:ascii="Times New Roman" w:hAnsi="Times New Roman" w:cs="Times New Roman"/>
          <w:color w:val="000000"/>
          <w:u w:val="single"/>
        </w:rPr>
        <w:t>雷击建筑物</w:t>
      </w:r>
      <w:r>
        <w:rPr>
          <w:rFonts w:hint="eastAsia" w:ascii="Times New Roman" w:hAnsi="Times New Roman" w:cs="Times New Roman"/>
          <w:color w:val="000000"/>
        </w:rPr>
        <w:t>；雷击建筑物附近；雷击连接到建筑物的服务设施；雷击连接到建筑物的服务设施附近。</w:t>
      </w:r>
    </w:p>
    <w:p>
      <w:pPr>
        <w:pStyle w:val="5"/>
        <w:spacing w:before="0" w:beforeAutospacing="0" w:after="0" w:afterAutospacing="0" w:line="400" w:lineRule="exact"/>
        <w:ind w:left="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雷电流是损害源。按雷击点相对于所考察的建筑物的位置，应考虑以下情况：雷击建筑物；</w:t>
      </w:r>
      <w:r>
        <w:rPr>
          <w:rFonts w:hint="eastAsia" w:ascii="Times New Roman" w:hAnsi="Times New Roman" w:cs="Times New Roman"/>
          <w:color w:val="000000"/>
          <w:u w:val="single"/>
        </w:rPr>
        <w:t>雷击建筑物附近</w:t>
      </w:r>
      <w:r>
        <w:rPr>
          <w:rFonts w:hint="eastAsia" w:ascii="Times New Roman" w:hAnsi="Times New Roman" w:cs="Times New Roman"/>
          <w:color w:val="000000"/>
        </w:rPr>
        <w:t>；雷击连接到建筑物的服务设施；雷击连接到建筑物的服务设施附近。</w:t>
      </w:r>
    </w:p>
    <w:p>
      <w:pPr>
        <w:pStyle w:val="5"/>
        <w:spacing w:before="0" w:beforeAutospacing="0" w:after="0" w:afterAutospacing="0" w:line="400" w:lineRule="exact"/>
        <w:ind w:left="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雷电流是损害源。按雷击点相对于所考察的建筑物的位置，应考虑以下情况：雷击建筑物；雷击建筑物附近；</w:t>
      </w:r>
      <w:r>
        <w:rPr>
          <w:rFonts w:hint="eastAsia" w:ascii="Times New Roman" w:hAnsi="Times New Roman" w:cs="Times New Roman"/>
          <w:color w:val="000000"/>
          <w:u w:val="single"/>
        </w:rPr>
        <w:t>雷击连接到建筑物的服务设施</w:t>
      </w:r>
      <w:r>
        <w:rPr>
          <w:rFonts w:hint="eastAsia" w:ascii="Times New Roman" w:hAnsi="Times New Roman" w:cs="Times New Roman"/>
          <w:color w:val="000000"/>
        </w:rPr>
        <w:t>；雷击连接到建筑物的服务设施附近。</w:t>
      </w:r>
    </w:p>
    <w:p>
      <w:pPr>
        <w:pStyle w:val="5"/>
        <w:spacing w:before="0" w:beforeAutospacing="0" w:after="0" w:afterAutospacing="0" w:line="400" w:lineRule="exact"/>
        <w:ind w:left="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雷电流是损害源。按雷击点相对于所考察的建筑物的位置，应考虑以下情况：雷击建筑物；雷击建筑物附近；雷击连接到建筑物的服务设施；</w:t>
      </w:r>
      <w:r>
        <w:rPr>
          <w:rFonts w:hint="eastAsia" w:ascii="Times New Roman" w:hAnsi="Times New Roman" w:cs="Times New Roman"/>
          <w:color w:val="000000"/>
          <w:u w:val="single"/>
        </w:rPr>
        <w:t>雷击连接到建筑物的服务设施附近</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雷击建筑物可能导致：</w:t>
      </w:r>
      <w:r>
        <w:rPr>
          <w:rFonts w:hint="eastAsia" w:ascii="Times New Roman" w:hAnsi="Times New Roman" w:cs="Times New Roman"/>
          <w:color w:val="000000"/>
          <w:u w:val="single"/>
        </w:rPr>
        <w:t>由于炽热的雷电等离子弧本身或电流使导体阻性加热（过热导体）或电荷导致电弧烧蚀（金属熔化）引起的直接机械损坏、火灾和/或爆炸</w:t>
      </w:r>
      <w:r>
        <w:rPr>
          <w:rFonts w:hint="eastAsia" w:ascii="Times New Roman" w:hAnsi="Times New Roman" w:cs="Times New Roman"/>
          <w:color w:val="000000"/>
        </w:rPr>
        <w:t>；由于电阻耦合、电感耦合或部分雷电流通过产生的过电压引起的火花触发火灾和/或爆炸；电阻耦合、电感耦合引起的接触电压和跨步电压对人员造成伤害；LEMP使内部系统失效或出现故障。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雷击建筑物可能导致：由于炽热的雷电等离子弧本身或电流使导体阻性加热（过热导体）或电荷导致电弧烧蚀（金属熔化）引起的直接机械损坏、火灾和/或爆炸；</w:t>
      </w:r>
      <w:r>
        <w:rPr>
          <w:rFonts w:hint="eastAsia" w:ascii="Times New Roman" w:hAnsi="Times New Roman" w:cs="Times New Roman"/>
          <w:color w:val="000000"/>
          <w:u w:val="single"/>
        </w:rPr>
        <w:t>由于电阻耦合、电感耦合或部分雷电流通过产生的过电压引起的火花触发火灾和/或爆炸</w:t>
      </w:r>
      <w:r>
        <w:rPr>
          <w:rFonts w:hint="eastAsia" w:ascii="Times New Roman" w:hAnsi="Times New Roman" w:cs="Times New Roman"/>
          <w:color w:val="000000"/>
        </w:rPr>
        <w:t>；电阻耦合、电感耦合引起的接触电压和跨步电压对人员造成伤害；LEMP使内部系统失效或出现故障。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可能导致：由于炽热的雷电等离子弧本身或电流使导体阻性加热（过热导体）或电荷导致电弧烧蚀（金属熔化）引起的直接机械损坏、火灾和/或爆炸；由于电阻耦合、电感耦合或部分雷电流通过产生的过电压引起的火花触发火灾和/或爆炸；</w:t>
      </w:r>
      <w:r>
        <w:rPr>
          <w:rFonts w:hint="eastAsia" w:ascii="Times New Roman" w:hAnsi="Times New Roman" w:cs="Times New Roman"/>
          <w:color w:val="000000"/>
          <w:u w:val="single"/>
        </w:rPr>
        <w:t>电阻耦合、电感耦合引起的接触电压和跨步电压对人员造成伤害</w:t>
      </w:r>
      <w:r>
        <w:rPr>
          <w:rFonts w:hint="eastAsia" w:ascii="Times New Roman" w:hAnsi="Times New Roman" w:cs="Times New Roman"/>
          <w:color w:val="000000"/>
        </w:rPr>
        <w:t>；LEMP使内部系统失效或出现故障。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可能导致：由于炽热的雷电等离子弧本身或电流使导体阻性加热（过热导体）或电荷导致电弧烧蚀（金属熔化）引起的直接机械损坏、火灾和/或爆炸；由于电阻耦合、电感耦合或部分雷电流通过产生的过电压引起的火花触发火灾和/或爆炸；电阻耦合、电感耦合引起的接触电压和跨步电压对人员造成伤害；</w:t>
      </w:r>
      <w:r>
        <w:rPr>
          <w:rFonts w:hint="eastAsia" w:ascii="Times New Roman" w:hAnsi="Times New Roman" w:cs="Times New Roman"/>
          <w:color w:val="000000"/>
          <w:u w:val="single"/>
        </w:rPr>
        <w:t>LEMP使内部系统失效或出现故障</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雷击建筑物附近可能导致：</w:t>
      </w:r>
      <w:r>
        <w:rPr>
          <w:rFonts w:hint="eastAsia" w:ascii="Times New Roman" w:hAnsi="Times New Roman" w:cs="Times New Roman"/>
          <w:color w:val="000000"/>
          <w:u w:val="single"/>
        </w:rPr>
        <w:t>LEMP使内部系统失效</w:t>
      </w:r>
      <w:r>
        <w:rPr>
          <w:rFonts w:hint="eastAsia" w:ascii="Times New Roman" w:hAnsi="Times New Roman" w:cs="Times New Roman"/>
          <w:color w:val="000000"/>
        </w:rPr>
        <w:t>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雷击建筑物附近可能导致：LEMP使内部系统失效或</w:t>
      </w:r>
      <w:r>
        <w:rPr>
          <w:rFonts w:hint="eastAsia" w:ascii="Times New Roman" w:hAnsi="Times New Roman" w:cs="Times New Roman"/>
          <w:color w:val="000000"/>
          <w:u w:val="single"/>
        </w:rPr>
        <w:t>出现故障</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雷击连接到建筑物的服务设施可能导致：</w:t>
      </w:r>
      <w:r>
        <w:rPr>
          <w:rFonts w:hint="eastAsia" w:ascii="Times New Roman" w:hAnsi="Times New Roman" w:cs="Times New Roman"/>
          <w:color w:val="000000"/>
          <w:u w:val="single"/>
        </w:rPr>
        <w:t>通过连接到建筑物的服务设施传输的过电压和雷电流产生的火花触发火灾和/或爆炸</w:t>
      </w:r>
      <w:r>
        <w:rPr>
          <w:rFonts w:hint="eastAsia" w:ascii="Times New Roman" w:hAnsi="Times New Roman" w:cs="Times New Roman"/>
          <w:color w:val="000000"/>
        </w:rPr>
        <w:t>；通过连接到建筑物的服务设施传输的雷电流在建筑物内产生接触电压伤及人员；出现在入户服务线路上并传输到建筑物的过电压使内部系统失效或出现故障。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雷击连接到建筑物的服务设施可能导致：通过连接到建筑物的服务设施传输的过电压和雷电流产生的火花触发火灾和/或爆炸；</w:t>
      </w:r>
      <w:r>
        <w:rPr>
          <w:rFonts w:hint="eastAsia" w:ascii="Times New Roman" w:hAnsi="Times New Roman" w:cs="Times New Roman"/>
          <w:color w:val="000000"/>
          <w:u w:val="single"/>
        </w:rPr>
        <w:t>通过连接到建筑物的服务设施传输的雷电流在建筑物内产生接触电压伤及人员</w:t>
      </w:r>
      <w:r>
        <w:rPr>
          <w:rFonts w:hint="eastAsia" w:ascii="Times New Roman" w:hAnsi="Times New Roman" w:cs="Times New Roman"/>
          <w:color w:val="000000"/>
        </w:rPr>
        <w:t>；出现在入户服务线路上并传输到建筑物的过电压使内部系统失效或出现故障。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雷击连接到建筑物的服务设施可能导致：通过连接到建筑物的服务设施传输的过电压和雷电流产生的火花触发火灾和/或爆炸；通过连接到建筑物的服务设施传输的雷电流在建筑物内产生接触电压伤及人员；</w:t>
      </w:r>
      <w:r>
        <w:rPr>
          <w:rFonts w:hint="eastAsia" w:ascii="Times New Roman" w:hAnsi="Times New Roman" w:cs="Times New Roman"/>
          <w:color w:val="000000"/>
          <w:u w:val="single"/>
        </w:rPr>
        <w:t>出现在入户服务线路上并传输到建筑物的过电压使内部系统失效或出现故障</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雷击连接到建筑物的服务设施附近可能导致：</w:t>
      </w:r>
      <w:r>
        <w:rPr>
          <w:rFonts w:hint="eastAsia" w:ascii="Times New Roman" w:hAnsi="Times New Roman" w:cs="Times New Roman"/>
          <w:color w:val="000000"/>
          <w:u w:val="single"/>
        </w:rPr>
        <w:t>在连接到建筑物的服务设施上感应并传输到建筑物内的过电压使内部系统失效</w:t>
      </w:r>
      <w:r>
        <w:rPr>
          <w:rFonts w:hint="eastAsia" w:ascii="Times New Roman" w:hAnsi="Times New Roman" w:cs="Times New Roman"/>
          <w:color w:val="000000"/>
        </w:rPr>
        <w:t>或出现故障。</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雷击连接到建筑物的服务设施附近可能导致：在连接到建筑物的服务设施上感应并传输到建筑物内的过电压使内部系统失效或</w:t>
      </w:r>
      <w:r>
        <w:rPr>
          <w:rFonts w:hint="eastAsia" w:ascii="Times New Roman" w:hAnsi="Times New Roman" w:cs="Times New Roman"/>
          <w:color w:val="000000"/>
          <w:u w:val="single"/>
        </w:rPr>
        <w:t>出现故障</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雷电可能产生三种基本损害类型：</w:t>
      </w:r>
      <w:r>
        <w:rPr>
          <w:rFonts w:hint="eastAsia" w:ascii="Times New Roman" w:hAnsi="Times New Roman" w:cs="Times New Roman"/>
          <w:color w:val="000000"/>
          <w:u w:val="single"/>
        </w:rPr>
        <w:t>接触电压和跨步电压使人和动物受到伤害</w:t>
      </w:r>
      <w:r>
        <w:rPr>
          <w:rFonts w:hint="eastAsia" w:ascii="Times New Roman" w:hAnsi="Times New Roman" w:cs="Times New Roman"/>
          <w:color w:val="000000"/>
        </w:rPr>
        <w:t>；包括有火花的雷电流效应引起的物理损害（火灾、爆炸、机械损坏、化学品泄漏等）；LEMP使内部系统失效。</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雷电可能产生三种基本损害类型：接触电压和跨步电压使人和动物受到伤害；</w:t>
      </w:r>
      <w:r>
        <w:rPr>
          <w:rFonts w:hint="eastAsia" w:ascii="Times New Roman" w:hAnsi="Times New Roman" w:cs="Times New Roman"/>
          <w:color w:val="000000"/>
          <w:u w:val="single"/>
        </w:rPr>
        <w:t>包括有火花的雷电流效应引起的物理损害（火灾、爆炸、机械损坏、化学品泄漏等）</w:t>
      </w:r>
      <w:r>
        <w:rPr>
          <w:rFonts w:hint="eastAsia" w:ascii="Times New Roman" w:hAnsi="Times New Roman" w:cs="Times New Roman"/>
          <w:color w:val="000000"/>
        </w:rPr>
        <w:t>；LEMP使内部系统失效。</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雷电可能产生三种基本损害类型：接触电压和跨步电压使人和动物受到伤害；包括有火花的雷电流效应引起的物理损害（火灾、爆炸、机械损坏、化学品泄漏等）；</w:t>
      </w:r>
      <w:r>
        <w:rPr>
          <w:rFonts w:hint="eastAsia" w:ascii="Times New Roman" w:hAnsi="Times New Roman" w:cs="Times New Roman"/>
          <w:color w:val="000000"/>
          <w:u w:val="single"/>
        </w:rPr>
        <w:t>LEMP使内部系统失效</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第1部分：总则》第5.1.2条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每一种损害类型，单独或与其它损害类型联合可能使受保护对象产生不同的间接损失。可能出现的损失类型取决于受保护对象本身的特性。GB/T 21714.1-2015《雷电防护 第1部分：总则》考虑以下损失类型：</w:t>
      </w:r>
      <w:r>
        <w:rPr>
          <w:rFonts w:hint="eastAsia" w:ascii="Times New Roman" w:hAnsi="Times New Roman" w:cs="Times New Roman"/>
          <w:color w:val="000000"/>
          <w:u w:val="single"/>
        </w:rPr>
        <w:t>人身生命损失</w:t>
      </w:r>
      <w:r>
        <w:rPr>
          <w:rFonts w:hint="eastAsia" w:ascii="Times New Roman" w:hAnsi="Times New Roman" w:cs="Times New Roman"/>
          <w:color w:val="000000"/>
        </w:rPr>
        <w:t>；对公众服务的损失；文化遗产损失；经济损失（建筑物及其内部物体、服务设施和业务损失）。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每一种损害类型，单独或与其它损害类型联合可能使受保护对象产生不同的间接损失。可能出现的损失类型取决于受保护对象本身的特性。GB/T 21714.1-2015《雷电防护 第1部分：总则》考虑以下损失类型：人身生命损失；</w:t>
      </w:r>
      <w:r>
        <w:rPr>
          <w:rFonts w:hint="eastAsia" w:ascii="Times New Roman" w:hAnsi="Times New Roman" w:cs="Times New Roman"/>
          <w:color w:val="000000"/>
          <w:u w:val="single"/>
        </w:rPr>
        <w:t>对公众服务的损失</w:t>
      </w:r>
      <w:r>
        <w:rPr>
          <w:rFonts w:hint="eastAsia" w:ascii="Times New Roman" w:hAnsi="Times New Roman" w:cs="Times New Roman"/>
          <w:color w:val="000000"/>
        </w:rPr>
        <w:t>；文化遗产损失；经济损失（建筑物及其内部物体、服务设施和业务损失）。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每一种损害类型，单独或与其它损害类型联合可能使受保护对象产生不同的间接损失。可能出现的损失类型取决于受保护对象本身的特性。GB/T 21714.1-2015《雷电防护 第1部分：总则》考虑以下损失类型：人身生命损失；对公众服务的损失；</w:t>
      </w:r>
      <w:r>
        <w:rPr>
          <w:rFonts w:hint="eastAsia" w:ascii="Times New Roman" w:hAnsi="Times New Roman" w:cs="Times New Roman"/>
          <w:color w:val="000000"/>
          <w:u w:val="single"/>
        </w:rPr>
        <w:t>文化遗产损失</w:t>
      </w:r>
      <w:r>
        <w:rPr>
          <w:rFonts w:hint="eastAsia" w:ascii="Times New Roman" w:hAnsi="Times New Roman" w:cs="Times New Roman"/>
          <w:color w:val="000000"/>
        </w:rPr>
        <w:t>；经济损失（建筑物及其内部物体、服务设施和业务损失）。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每一种损害类型，单独或与其它损害类型联合可能使受保护对象产生不同的间接损失。可能出现的损失类型取决于受保护对象本身的特性。GB/T 21714.1-2015《雷电防护 第1部分：总则》考虑以下损失类型：人身生命损失；对公众服务的损失；文化遗产损失；</w:t>
      </w:r>
      <w:r>
        <w:rPr>
          <w:rFonts w:hint="eastAsia" w:ascii="Times New Roman" w:hAnsi="Times New Roman" w:cs="Times New Roman"/>
          <w:color w:val="000000"/>
          <w:u w:val="single"/>
        </w:rPr>
        <w:t>经济损失（建筑物及其内部物体、服务设施和业务损失）</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w:t>
      </w:r>
      <w:r>
        <w:rPr>
          <w:rFonts w:hint="eastAsia" w:ascii="Times New Roman" w:hAnsi="Times New Roman" w:cs="Times New Roman"/>
          <w:color w:val="000000"/>
          <w:u w:val="single"/>
        </w:rPr>
        <w:t>人身生命损失</w:t>
      </w:r>
      <w:r>
        <w:rPr>
          <w:rFonts w:hint="eastAsia" w:ascii="Times New Roman" w:hAnsi="Times New Roman" w:cs="Times New Roman"/>
          <w:color w:val="000000"/>
        </w:rPr>
        <w:t>；对公众服务的损失；文化遗产损失；经济损失（建筑物及其内部物体）；对公众服务的损失；经济损失（服务设施和业务损失）。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可能出现在建筑物内的损失如下：人身生命损失；</w:t>
      </w:r>
      <w:r>
        <w:rPr>
          <w:rFonts w:hint="eastAsia" w:ascii="Times New Roman" w:hAnsi="Times New Roman" w:cs="Times New Roman"/>
          <w:color w:val="000000"/>
          <w:u w:val="single"/>
        </w:rPr>
        <w:t>对公众服务的损失</w:t>
      </w:r>
      <w:r>
        <w:rPr>
          <w:rFonts w:hint="eastAsia" w:ascii="Times New Roman" w:hAnsi="Times New Roman" w:cs="Times New Roman"/>
          <w:color w:val="000000"/>
        </w:rPr>
        <w:t>；文化遗产损失；经济损失（建筑物及其内部物体）；对公众服务的损失；经济损失（服务设施和业务损失）。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可能出现在建筑物内的损失如下：人身生命损失；对公众服务的损失；</w:t>
      </w:r>
      <w:r>
        <w:rPr>
          <w:rFonts w:hint="eastAsia" w:ascii="Times New Roman" w:hAnsi="Times New Roman" w:cs="Times New Roman"/>
          <w:color w:val="000000"/>
          <w:u w:val="single"/>
        </w:rPr>
        <w:t>文化遗产损失</w:t>
      </w:r>
      <w:r>
        <w:rPr>
          <w:rFonts w:hint="eastAsia" w:ascii="Times New Roman" w:hAnsi="Times New Roman" w:cs="Times New Roman"/>
          <w:color w:val="000000"/>
        </w:rPr>
        <w:t>；经济损失（建筑物及其内部物体）；对公众服务的损失；经济损失（服务设施和业务损失）。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可能出现在建筑物内的损失如下：人身生命损失；对公众服务的损失；文化遗产损失；</w:t>
      </w:r>
      <w:r>
        <w:rPr>
          <w:rFonts w:hint="eastAsia" w:ascii="Times New Roman" w:hAnsi="Times New Roman" w:cs="Times New Roman"/>
          <w:color w:val="000000"/>
          <w:u w:val="single"/>
        </w:rPr>
        <w:t>经济损失（建筑物及其内部物体）</w:t>
      </w:r>
      <w:r>
        <w:rPr>
          <w:rFonts w:hint="eastAsia" w:ascii="Times New Roman" w:hAnsi="Times New Roman" w:cs="Times New Roman"/>
          <w:color w:val="000000"/>
        </w:rPr>
        <w:t>；对公众服务的损失；经济损失（服务设施和业务损失）。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可能出现在建筑物内的损失如下：人身生命损失；对公众服务的损失；文化遗产损失；经济损失（建筑物及其内部物体）；</w:t>
      </w:r>
      <w:r>
        <w:rPr>
          <w:rFonts w:hint="eastAsia" w:ascii="Times New Roman" w:hAnsi="Times New Roman" w:cs="Times New Roman"/>
          <w:color w:val="000000"/>
          <w:u w:val="single"/>
        </w:rPr>
        <w:t>对公众服务的损失</w:t>
      </w:r>
      <w:r>
        <w:rPr>
          <w:rFonts w:hint="eastAsia" w:ascii="Times New Roman" w:hAnsi="Times New Roman" w:cs="Times New Roman"/>
          <w:color w:val="000000"/>
        </w:rPr>
        <w:t>；经济损失（服务设施和业务损失）。</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可能出现在建筑物内的损失如下：人身生命损失；对公众服务的损失；文化遗产损失；经济损失（建筑物及其内部物体）；对公众服务的损失；</w:t>
      </w:r>
      <w:r>
        <w:rPr>
          <w:rFonts w:hint="eastAsia" w:ascii="Times New Roman" w:hAnsi="Times New Roman" w:cs="Times New Roman"/>
          <w:color w:val="000000"/>
          <w:u w:val="single"/>
        </w:rPr>
        <w:t>经济损失（服务设施和业务损失）</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减少接触和跨步电压造成人和动物伤害的防护措施有：</w:t>
      </w:r>
      <w:r>
        <w:rPr>
          <w:rFonts w:hint="eastAsia" w:ascii="Times New Roman" w:hAnsi="Times New Roman" w:cs="Times New Roman"/>
          <w:color w:val="000000"/>
          <w:u w:val="single"/>
        </w:rPr>
        <w:t>外露导电部件的适当绝缘</w:t>
      </w:r>
      <w:r>
        <w:rPr>
          <w:rFonts w:hint="eastAsia" w:ascii="Times New Roman" w:hAnsi="Times New Roman" w:cs="Times New Roman"/>
          <w:color w:val="000000"/>
        </w:rPr>
        <w:t>；利用网格接地系统作等电位连接；限制人身活动范围和设置警示牌。</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减少接触和跨步电压造成人和动物伤害的防护措施有：外露导电部件的适当绝缘；</w:t>
      </w:r>
      <w:r>
        <w:rPr>
          <w:rFonts w:hint="eastAsia" w:ascii="Times New Roman" w:hAnsi="Times New Roman" w:cs="Times New Roman"/>
          <w:color w:val="000000"/>
          <w:u w:val="single"/>
        </w:rPr>
        <w:t>利用网格接地系统作等电位连接</w:t>
      </w:r>
      <w:r>
        <w:rPr>
          <w:rFonts w:hint="eastAsia" w:ascii="Times New Roman" w:hAnsi="Times New Roman" w:cs="Times New Roman"/>
          <w:color w:val="000000"/>
        </w:rPr>
        <w:t>；限制人身活动范围和设置警示牌。</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减少接触和跨步电压造成人和动物伤害的防护措施有：外露导电部件的适当绝缘；利用网格接地系统作等电位连接；</w:t>
      </w:r>
      <w:r>
        <w:rPr>
          <w:rFonts w:hint="eastAsia" w:ascii="Times New Roman" w:hAnsi="Times New Roman" w:cs="Times New Roman"/>
          <w:color w:val="000000"/>
          <w:u w:val="single"/>
        </w:rPr>
        <w:t>限制人身活动范围和设置警示牌</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减少物理损害的防护措施有：</w:t>
      </w:r>
      <w:r>
        <w:rPr>
          <w:rFonts w:hint="eastAsia" w:ascii="Times New Roman" w:hAnsi="Times New Roman" w:cs="Times New Roman"/>
          <w:color w:val="000000"/>
          <w:u w:val="single"/>
        </w:rPr>
        <w:t>对建筑物－雷电防护系统</w:t>
      </w:r>
      <w:r>
        <w:rPr>
          <w:rFonts w:hint="eastAsia" w:ascii="Times New Roman" w:hAnsi="Times New Roman" w:cs="Times New Roman"/>
          <w:color w:val="000000"/>
        </w:rPr>
        <w:t>；对服务设施－屏蔽线。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减少物理损害的防护措施有：对建筑物－雷电防护系统；</w:t>
      </w:r>
      <w:r>
        <w:rPr>
          <w:rFonts w:hint="eastAsia" w:ascii="Times New Roman" w:hAnsi="Times New Roman" w:cs="Times New Roman"/>
          <w:color w:val="000000"/>
          <w:u w:val="single"/>
        </w:rPr>
        <w:t>对服务设施－屏蔽线</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雷电防护系统（LPS）可达到防护作用，其特征有：</w:t>
      </w:r>
      <w:r>
        <w:rPr>
          <w:rFonts w:hint="eastAsia" w:ascii="Times New Roman" w:hAnsi="Times New Roman" w:cs="Times New Roman"/>
          <w:color w:val="000000"/>
          <w:u w:val="single"/>
        </w:rPr>
        <w:t>接闪器</w:t>
      </w:r>
      <w:r>
        <w:rPr>
          <w:rFonts w:hint="eastAsia" w:ascii="Times New Roman" w:hAnsi="Times New Roman" w:cs="Times New Roman"/>
          <w:color w:val="000000"/>
        </w:rPr>
        <w:t>；</w:t>
      </w:r>
      <w:r>
        <w:rPr>
          <w:rFonts w:hint="eastAsia" w:ascii="Times New Roman" w:hAnsi="Times New Roman" w:cs="Times New Roman"/>
          <w:color w:val="000000"/>
          <w:u w:val="single"/>
        </w:rPr>
        <w:t>引下线</w:t>
      </w:r>
      <w:r>
        <w:rPr>
          <w:rFonts w:hint="eastAsia" w:ascii="Times New Roman" w:hAnsi="Times New Roman" w:cs="Times New Roman"/>
          <w:color w:val="000000"/>
        </w:rPr>
        <w:t>；</w:t>
      </w:r>
      <w:r>
        <w:rPr>
          <w:rFonts w:hint="eastAsia" w:ascii="Times New Roman" w:hAnsi="Times New Roman" w:cs="Times New Roman"/>
          <w:color w:val="000000"/>
          <w:u w:val="single"/>
        </w:rPr>
        <w:t>接地装置</w:t>
      </w:r>
      <w:r>
        <w:rPr>
          <w:rFonts w:hint="eastAsia" w:ascii="Times New Roman" w:hAnsi="Times New Roman" w:cs="Times New Roman"/>
          <w:color w:val="000000"/>
        </w:rPr>
        <w:t>；</w:t>
      </w:r>
      <w:r>
        <w:rPr>
          <w:rFonts w:hint="eastAsia" w:ascii="Times New Roman" w:hAnsi="Times New Roman" w:cs="Times New Roman"/>
          <w:color w:val="000000"/>
          <w:u w:val="single"/>
        </w:rPr>
        <w:t>雷电等电位连接（EB）</w:t>
      </w:r>
      <w:r>
        <w:rPr>
          <w:rFonts w:hint="eastAsia" w:ascii="Times New Roman" w:hAnsi="Times New Roman" w:cs="Times New Roman"/>
          <w:color w:val="000000"/>
        </w:rPr>
        <w:t>；</w:t>
      </w:r>
      <w:r>
        <w:rPr>
          <w:rFonts w:hint="eastAsia" w:ascii="Times New Roman" w:hAnsi="Times New Roman" w:cs="Times New Roman"/>
          <w:color w:val="000000"/>
          <w:u w:val="single"/>
        </w:rPr>
        <w:t>与外部LPS间的电气绝缘（和增大间距）</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减少电气和电子系统失效的防护措施有：</w:t>
      </w:r>
      <w:r>
        <w:rPr>
          <w:rFonts w:hint="eastAsia" w:ascii="Times New Roman" w:hAnsi="Times New Roman" w:cs="Times New Roman"/>
          <w:color w:val="000000"/>
          <w:u w:val="single"/>
        </w:rPr>
        <w:t>接地和等电位连接</w:t>
      </w:r>
      <w:r>
        <w:rPr>
          <w:rFonts w:hint="eastAsia" w:ascii="Times New Roman" w:hAnsi="Times New Roman" w:cs="Times New Roman"/>
          <w:color w:val="000000"/>
        </w:rPr>
        <w:t>；</w:t>
      </w:r>
      <w:r>
        <w:rPr>
          <w:rFonts w:hint="eastAsia" w:ascii="Times New Roman" w:hAnsi="Times New Roman" w:cs="Times New Roman"/>
          <w:color w:val="000000"/>
          <w:u w:val="single"/>
        </w:rPr>
        <w:t>磁屏蔽</w:t>
      </w:r>
      <w:r>
        <w:rPr>
          <w:rFonts w:hint="eastAsia" w:ascii="Times New Roman" w:hAnsi="Times New Roman" w:cs="Times New Roman"/>
          <w:color w:val="000000"/>
        </w:rPr>
        <w:t>；</w:t>
      </w:r>
      <w:r>
        <w:rPr>
          <w:rFonts w:hint="eastAsia" w:ascii="Times New Roman" w:hAnsi="Times New Roman" w:cs="Times New Roman"/>
          <w:color w:val="000000"/>
          <w:u w:val="single"/>
        </w:rPr>
        <w:t>合理布线</w:t>
      </w:r>
      <w:r>
        <w:rPr>
          <w:rFonts w:hint="eastAsia" w:ascii="Times New Roman" w:hAnsi="Times New Roman" w:cs="Times New Roman"/>
          <w:color w:val="000000"/>
        </w:rPr>
        <w:t>；</w:t>
      </w:r>
      <w:r>
        <w:rPr>
          <w:rFonts w:hint="eastAsia" w:ascii="Times New Roman" w:hAnsi="Times New Roman" w:cs="Times New Roman"/>
          <w:color w:val="000000"/>
          <w:u w:val="single"/>
        </w:rPr>
        <w:t>隔离界面</w:t>
      </w:r>
      <w:r>
        <w:rPr>
          <w:rFonts w:hint="eastAsia" w:ascii="Times New Roman" w:hAnsi="Times New Roman" w:cs="Times New Roman"/>
          <w:color w:val="000000"/>
        </w:rPr>
        <w:t>；</w:t>
      </w:r>
      <w:r>
        <w:rPr>
          <w:rFonts w:hint="eastAsia" w:ascii="Times New Roman" w:hAnsi="Times New Roman" w:cs="Times New Roman"/>
          <w:color w:val="000000"/>
          <w:u w:val="single"/>
        </w:rPr>
        <w:t>能量配合的SPD系统</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第1部分：总则》第7.4条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如果屏蔽体电气贯通不好和/或厚度不够，则雷电流就会穿透屏蔽体从而导致：</w:t>
      </w:r>
      <w:r>
        <w:rPr>
          <w:rFonts w:hint="eastAsia" w:ascii="Times New Roman" w:hAnsi="Times New Roman" w:cs="Times New Roman"/>
          <w:color w:val="000000"/>
          <w:u w:val="single"/>
        </w:rPr>
        <w:t>物理损害或人身伤害</w:t>
      </w:r>
      <w:r>
        <w:rPr>
          <w:rFonts w:hint="eastAsia" w:ascii="Times New Roman" w:hAnsi="Times New Roman" w:cs="Times New Roman"/>
          <w:color w:val="000000"/>
        </w:rPr>
        <w:t>；内部系统失效；服务设施和与之相连系统的失效。</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如果屏蔽体电气贯通不好和/或厚度不够，则雷电流就会穿透屏蔽体从而导致：物理损害或人身伤害；</w:t>
      </w:r>
      <w:r>
        <w:rPr>
          <w:rFonts w:hint="eastAsia" w:ascii="Times New Roman" w:hAnsi="Times New Roman" w:cs="Times New Roman"/>
          <w:color w:val="000000"/>
          <w:u w:val="single"/>
        </w:rPr>
        <w:t>内部系统失效</w:t>
      </w:r>
      <w:r>
        <w:rPr>
          <w:rFonts w:hint="eastAsia" w:ascii="Times New Roman" w:hAnsi="Times New Roman" w:cs="Times New Roman"/>
          <w:color w:val="000000"/>
        </w:rPr>
        <w:t>；服务设施和与之相连系统的失效。</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如果屏蔽体电气贯通不好和/或厚度不够，则雷电流就会穿透屏蔽体从而导致：物理损害或人身伤害；内部系统失效；</w:t>
      </w:r>
      <w:r>
        <w:rPr>
          <w:rFonts w:hint="eastAsia" w:ascii="Times New Roman" w:hAnsi="Times New Roman" w:cs="Times New Roman"/>
          <w:color w:val="000000"/>
          <w:u w:val="single"/>
        </w:rPr>
        <w:t>服务设施和与之相连系统的失效</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外部LPS的功能是：</w:t>
      </w:r>
      <w:r>
        <w:rPr>
          <w:rFonts w:hint="eastAsia" w:ascii="Times New Roman" w:hAnsi="Times New Roman" w:cs="Times New Roman"/>
          <w:color w:val="000000"/>
          <w:u w:val="single"/>
        </w:rPr>
        <w:t>拦截直击建筑物的雷电（利用接闪器系统）</w:t>
      </w:r>
      <w:r>
        <w:rPr>
          <w:rFonts w:hint="eastAsia" w:ascii="Times New Roman" w:hAnsi="Times New Roman" w:cs="Times New Roman"/>
          <w:color w:val="000000"/>
        </w:rPr>
        <w:t>；安全引导雷电流到地（利用引下线系统）；使雷电流入地消散（利用接地体系统）。</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外部LPS的功能是：拦截直击建筑物的雷电（利用接闪器系统）；</w:t>
      </w:r>
      <w:r>
        <w:rPr>
          <w:rFonts w:hint="eastAsia" w:ascii="Times New Roman" w:hAnsi="Times New Roman" w:cs="Times New Roman"/>
          <w:color w:val="000000"/>
          <w:u w:val="single"/>
        </w:rPr>
        <w:t>安全引导雷电流到地（利用引下线系统）</w:t>
      </w:r>
      <w:r>
        <w:rPr>
          <w:rFonts w:hint="eastAsia" w:ascii="Times New Roman" w:hAnsi="Times New Roman" w:cs="Times New Roman"/>
          <w:color w:val="000000"/>
        </w:rPr>
        <w:t>；使雷电流入地消散（利用接地体系统）。</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外部LPS的功能是：拦截直击建筑物的雷电（利用接闪器系统）；安全引导雷电流到地（利用引下线系统）；</w:t>
      </w:r>
      <w:r>
        <w:rPr>
          <w:rFonts w:hint="eastAsia" w:ascii="Times New Roman" w:hAnsi="Times New Roman" w:cs="Times New Roman"/>
          <w:color w:val="000000"/>
          <w:u w:val="single"/>
        </w:rPr>
        <w:t>使雷电流入地消散（利用接地体系统）</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如果建筑物外部地面电阻率和建筑物内楼板电阻率不够大时，减少接触和跨步电压对人身伤害的措施有：在建筑物外部，</w:t>
      </w:r>
      <w:r>
        <w:rPr>
          <w:rFonts w:hint="eastAsia" w:ascii="Times New Roman" w:hAnsi="Times New Roman" w:cs="Times New Roman"/>
          <w:color w:val="000000"/>
          <w:u w:val="single"/>
        </w:rPr>
        <w:t>把外露导电部件绝缘，</w:t>
      </w:r>
      <w:r>
        <w:rPr>
          <w:rFonts w:hint="eastAsia" w:ascii="Times New Roman" w:hAnsi="Times New Roman" w:cs="Times New Roman"/>
          <w:color w:val="000000"/>
        </w:rPr>
        <w:t>利用网状接地系统作等电位连接，设置警示牌和限制人身活动范围；在建筑物内部，在服务设施入户处做等电位连接。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如果建筑物外部地面电阻率和建筑物内楼板电阻率不够大时，减少接触和跨步电压对人身伤害的措施有：在建筑物外部，把外露导电部件绝缘，</w:t>
      </w:r>
      <w:r>
        <w:rPr>
          <w:rFonts w:hint="eastAsia" w:ascii="Times New Roman" w:hAnsi="Times New Roman" w:cs="Times New Roman"/>
          <w:color w:val="000000"/>
          <w:u w:val="single"/>
        </w:rPr>
        <w:t>利用网状接地系统作等电位连接</w:t>
      </w:r>
      <w:r>
        <w:rPr>
          <w:rFonts w:hint="eastAsia" w:ascii="Times New Roman" w:hAnsi="Times New Roman" w:cs="Times New Roman"/>
          <w:color w:val="000000"/>
        </w:rPr>
        <w:t>，设置警示牌和限制人身活动范围；在建筑物内部，在服务设施入户处做等电位连接。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如果建筑物外部地面电阻率和建筑物内楼板电阻率不够大时，减少接触和跨步电压对人身伤害的措施有：在建筑物外部，把外露导电部件绝缘，利用网状接地系统作等电位连接，</w:t>
      </w:r>
      <w:r>
        <w:rPr>
          <w:rFonts w:hint="eastAsia" w:ascii="Times New Roman" w:hAnsi="Times New Roman" w:cs="Times New Roman"/>
          <w:color w:val="000000"/>
          <w:u w:val="single"/>
        </w:rPr>
        <w:t>设置警示牌和限制人身活动范围</w:t>
      </w:r>
      <w:r>
        <w:rPr>
          <w:rFonts w:hint="eastAsia" w:ascii="Times New Roman" w:hAnsi="Times New Roman" w:cs="Times New Roman"/>
          <w:color w:val="000000"/>
        </w:rPr>
        <w:t>；在建筑物内部，在服务设施入户处做等电位连接。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建筑物外部地面电阻率和建筑物内楼板电阻率不够大时，减少接触和跨步电压对人身伤害的措施有：在建筑物外部，把外露导电部件绝缘、利用网状接地系统作等电位连接、设置警示牌和限制人身活动范围；在建筑物内部，</w:t>
      </w:r>
      <w:r>
        <w:rPr>
          <w:rFonts w:hint="eastAsia" w:ascii="Times New Roman" w:hAnsi="Times New Roman" w:cs="Times New Roman"/>
          <w:color w:val="000000"/>
          <w:u w:val="single"/>
        </w:rPr>
        <w:t>在服务设施入户处做等电位连接</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第1部分：总则》第8.4.1条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对LEMP进行防护以便减少内部系统失效风险, 应限制：</w:t>
      </w:r>
      <w:r>
        <w:rPr>
          <w:rFonts w:hint="eastAsia" w:ascii="Times New Roman" w:hAnsi="Times New Roman" w:cs="Times New Roman"/>
          <w:color w:val="000000"/>
          <w:u w:val="single"/>
        </w:rPr>
        <w:t>雷电直击建筑物, 因阻性或感性耦合引起的过电压</w:t>
      </w:r>
      <w:r>
        <w:rPr>
          <w:rFonts w:hint="eastAsia" w:ascii="Times New Roman" w:hAnsi="Times New Roman" w:cs="Times New Roman"/>
          <w:color w:val="000000"/>
        </w:rPr>
        <w:t>；雷击建筑物附近, 因感性耦合引起的过电压；雷击连至建筑物的线路或其附近，从入户线路传入的过电压；与内部系统直接耦合的磁场。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第1部分：总则》第8.4.2条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对LEMP进行防护以便减少内部系统失效风险, 应限制：雷电直击建筑物, 因阻性或感性耦合引起的过电压；</w:t>
      </w:r>
      <w:r>
        <w:rPr>
          <w:rFonts w:hint="eastAsia" w:ascii="Times New Roman" w:hAnsi="Times New Roman" w:cs="Times New Roman"/>
          <w:color w:val="000000"/>
          <w:u w:val="single"/>
        </w:rPr>
        <w:t>雷击建筑物附近, 因感性耦合引起的过电压</w:t>
      </w:r>
      <w:r>
        <w:rPr>
          <w:rFonts w:hint="eastAsia" w:ascii="Times New Roman" w:hAnsi="Times New Roman" w:cs="Times New Roman"/>
          <w:color w:val="000000"/>
        </w:rPr>
        <w:t>；雷击连至建筑物的线路或其附近，从入户线路传入的过电压；与内部系统直接耦合的磁场。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第1部分：总则》第8.4.2条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对LEMP进行防护以便减少内部系统失效风险, 应限制：雷电直击建筑物, 因阻性或感性耦合引起的过电压；雷击建筑物附近, 因感性耦合引起的过电压；</w:t>
      </w:r>
      <w:r>
        <w:rPr>
          <w:rFonts w:hint="eastAsia" w:ascii="Times New Roman" w:hAnsi="Times New Roman" w:cs="Times New Roman"/>
          <w:color w:val="000000"/>
          <w:u w:val="single"/>
        </w:rPr>
        <w:t>雷击连至建筑物的线路或其附近，从入户线路传入的过电压</w:t>
      </w:r>
      <w:r>
        <w:rPr>
          <w:rFonts w:hint="eastAsia" w:ascii="Times New Roman" w:hAnsi="Times New Roman" w:cs="Times New Roman"/>
          <w:color w:val="000000"/>
        </w:rPr>
        <w:t>；与内部系统直接耦合的磁场。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第1部分：总则》第8.4.2条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对LEMP进行防护以便减少内部系统失效风险, 应限制：雷电直击建筑物, 因阻性或感性耦合引起的过电压；雷击建筑物附近, 因感性耦合引起的过电压；雷击连至建筑物的线路或其附近，从入户线路传入的过电压；</w:t>
      </w:r>
      <w:r>
        <w:rPr>
          <w:rFonts w:hint="eastAsia" w:ascii="Times New Roman" w:hAnsi="Times New Roman" w:cs="Times New Roman"/>
          <w:color w:val="000000"/>
          <w:u w:val="single"/>
        </w:rPr>
        <w:t>与内部系统直接耦合的磁场</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第1部分：总则》第8.4.2条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落地雷闪有两种基本类型：</w:t>
      </w:r>
      <w:r>
        <w:rPr>
          <w:rFonts w:hint="eastAsia" w:ascii="Times New Roman" w:hAnsi="Times New Roman" w:cs="Times New Roman"/>
          <w:color w:val="000000"/>
          <w:u w:val="single"/>
        </w:rPr>
        <w:t>始于云对地的一个向下先导的下行雷</w:t>
      </w:r>
      <w:r>
        <w:rPr>
          <w:rFonts w:hint="eastAsia" w:ascii="Times New Roman" w:hAnsi="Times New Roman" w:cs="Times New Roman"/>
          <w:color w:val="000000"/>
        </w:rPr>
        <w:t>；始于地面建筑物对云的一个向上先导的上行雷。</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第1部分：总则》附录A.1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落地雷闪有两种基本类型：始于云对地的一个向下先导的下行雷；</w:t>
      </w:r>
      <w:r>
        <w:rPr>
          <w:rFonts w:hint="eastAsia" w:ascii="Times New Roman" w:hAnsi="Times New Roman" w:cs="Times New Roman"/>
          <w:color w:val="000000"/>
          <w:u w:val="single"/>
        </w:rPr>
        <w:t>始于地面建筑物对云的一个向上先导的上行雷</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第1部分：总则》附录A.1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雷电流由一个或多个不同的雷击组成：</w:t>
      </w:r>
      <w:r>
        <w:rPr>
          <w:rFonts w:hint="eastAsia" w:ascii="Times New Roman" w:hAnsi="Times New Roman" w:cs="Times New Roman"/>
          <w:color w:val="000000"/>
          <w:u w:val="single"/>
        </w:rPr>
        <w:t>持续时间小于2ms的短雷击</w:t>
      </w:r>
      <w:r>
        <w:rPr>
          <w:rFonts w:hint="eastAsia" w:ascii="Times New Roman" w:hAnsi="Times New Roman" w:cs="Times New Roman"/>
          <w:color w:val="000000"/>
        </w:rPr>
        <w:t>；持续时间大于2ms的长雷击。</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第1部分：总则》附录A.1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雷电流由一个或多个不同的雷击组成：持续时间小于2ms的短雷击；</w:t>
      </w:r>
      <w:r>
        <w:rPr>
          <w:rFonts w:hint="eastAsia" w:ascii="Times New Roman" w:hAnsi="Times New Roman" w:cs="Times New Roman"/>
          <w:color w:val="000000"/>
          <w:u w:val="single"/>
        </w:rPr>
        <w:t>持续时间大于2ms的长雷击</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第1部分：总则》附录A.1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雷电对引下线的影响主要可以分为两类：</w:t>
      </w:r>
      <w:r>
        <w:rPr>
          <w:rFonts w:hint="eastAsia" w:ascii="Times New Roman" w:hAnsi="Times New Roman" w:cs="Times New Roman"/>
          <w:color w:val="000000"/>
          <w:u w:val="single"/>
        </w:rPr>
        <w:t>由于阻性加热产生的热效应</w:t>
      </w:r>
      <w:r>
        <w:rPr>
          <w:rFonts w:hint="eastAsia" w:ascii="Times New Roman" w:hAnsi="Times New Roman" w:cs="Times New Roman"/>
          <w:color w:val="000000"/>
        </w:rPr>
        <w:t>；毗邻导体对雷电流进行分流或雷电流改变方向（导体弯曲或以某角度互相连接时）处磁场相互作用引起的机械效应。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第1部分：总则》附录D.5.2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雷电对引下线的影响主要可以分为两类：由于阻性加热产生的热效应；</w:t>
      </w:r>
      <w:r>
        <w:rPr>
          <w:rFonts w:hint="eastAsia" w:ascii="Times New Roman" w:hAnsi="Times New Roman" w:cs="Times New Roman"/>
          <w:color w:val="000000"/>
          <w:u w:val="single"/>
        </w:rPr>
        <w:t>毗邻导体对雷电流进行分流或雷电流改变方向（导体弯曲或以某角度互相连接时）处磁场相互作用引起的机械效应</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第1部分：总则》附录D.5.2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雷电对火花间隙的影响可分为两大类：</w:t>
      </w:r>
      <w:r>
        <w:rPr>
          <w:rFonts w:hint="eastAsia" w:ascii="Times New Roman" w:hAnsi="Times New Roman" w:cs="Times New Roman"/>
          <w:color w:val="000000"/>
          <w:u w:val="single"/>
        </w:rPr>
        <w:t>材料的受热、熔化和蒸发使间隙的电极腐蚀</w:t>
      </w:r>
      <w:r>
        <w:rPr>
          <w:rFonts w:hint="eastAsia" w:ascii="Times New Roman" w:hAnsi="Times New Roman" w:cs="Times New Roman"/>
          <w:color w:val="000000"/>
        </w:rPr>
        <w:t>；放电冲击波产生的机械应力。</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第1部分：总则》附录D.6.1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雷电对火花间隙的影响可分为两大类：材料的受热、熔化和蒸发使间隙的电极腐蚀；</w:t>
      </w:r>
      <w:r>
        <w:rPr>
          <w:rFonts w:hint="eastAsia" w:ascii="Times New Roman" w:hAnsi="Times New Roman" w:cs="Times New Roman"/>
          <w:color w:val="000000"/>
          <w:u w:val="single"/>
        </w:rPr>
        <w:t>放电冲击波产生的机械应力</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第1部分：总则》附录D.6.1</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影响电力线中雷电流分流的因素有:</w:t>
      </w:r>
      <w:r>
        <w:rPr>
          <w:rFonts w:hint="eastAsia" w:ascii="Times New Roman" w:hAnsi="Times New Roman" w:cs="Times New Roman"/>
          <w:color w:val="000000"/>
          <w:u w:val="single"/>
        </w:rPr>
        <w:t>因比值L/R的关系, 电缆的长度可能会影响电流的分流和波形特征</w:t>
      </w:r>
      <w:r>
        <w:rPr>
          <w:rFonts w:hint="eastAsia" w:ascii="Times New Roman" w:hAnsi="Times New Roman" w:cs="Times New Roman"/>
          <w:color w:val="000000"/>
        </w:rPr>
        <w:t>；中性线和相线的阻抗差异可能会影响导线间的分流；不同的变压器阻抗可能会影响分流（如果变压器用与其阻抗并联的SPD保护，这种分流影响可以忽略）；变压器的常规接地电阻与负载侧装置之间的关系可能会影响分流（变压器的阻抗越低，流进低压系统的浪涌电流越大）；并联用户使低压系统的等效阻抗降低，可能会增加流入该系统的部分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第1部分：总则》附录E.1.2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影响电力线中雷电流分流的因素有:因比值L/R的关系, 电缆的长度可能会影响电流的分流和波形特征；</w:t>
      </w:r>
      <w:r>
        <w:rPr>
          <w:rFonts w:hint="eastAsia" w:ascii="Times New Roman" w:hAnsi="Times New Roman" w:cs="Times New Roman"/>
          <w:color w:val="000000"/>
          <w:u w:val="single"/>
        </w:rPr>
        <w:t>中性线和相线的阻抗差异可能会影响导线间的分流</w:t>
      </w:r>
      <w:r>
        <w:rPr>
          <w:rFonts w:hint="eastAsia" w:ascii="Times New Roman" w:hAnsi="Times New Roman" w:cs="Times New Roman"/>
          <w:color w:val="000000"/>
        </w:rPr>
        <w:t>；不同的变压器阻抗可能会影响分流（如果变压器用与其阻抗并联的SPD保护，这种分流影响可以忽略）；变压器的常规接地电阻与负载侧装置之间的关系可能会影响分流（变压器的阻抗越低，流进低压系统的浪涌电流越大）；并联用户使低压系统的等效阻抗降低，可能会增加流入该系统的部分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第1部分：总则》附录E.1.2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影响电力线中雷电流分流的因素有:因比值L/R的关系, 电缆的长度可能会影响电流的分流和波形特征；中性线和相线的阻抗差异可能会影响导线间的分流；</w:t>
      </w:r>
      <w:r>
        <w:rPr>
          <w:rFonts w:hint="eastAsia" w:ascii="Times New Roman" w:hAnsi="Times New Roman" w:cs="Times New Roman"/>
          <w:color w:val="000000"/>
          <w:u w:val="single"/>
        </w:rPr>
        <w:t>不同的变压器阻抗可能会影响分流（如果变压器用与其阻抗并联的SPD保护，这种分流影响可以忽略）</w:t>
      </w:r>
      <w:r>
        <w:rPr>
          <w:rFonts w:hint="eastAsia" w:ascii="Times New Roman" w:hAnsi="Times New Roman" w:cs="Times New Roman"/>
          <w:color w:val="000000"/>
        </w:rPr>
        <w:t>；变压器的常规接地电阻与负载侧装置之间的关系可能会影响分流（变压器的阻抗越低，流进低压系统的浪涌电流越大）；并联用户使低压系统的等效阻抗降低，可能会增加流入该系统的部分雷电流。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第1部分：总则》附录E.1.2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影响电力线中雷电流分流的因素有:因比值L/R的关系, 电缆的长度可能会影响电流的分流和波形特征；中性线和相线的阻抗差异可能会影响导线间的分流；不同的变压器阻抗可能会影响分流（如果变压器用与其阻抗并联的SPD保护，这种分流影响可以忽略）；</w:t>
      </w:r>
      <w:r>
        <w:rPr>
          <w:rFonts w:hint="eastAsia" w:ascii="Times New Roman" w:hAnsi="Times New Roman" w:cs="Times New Roman"/>
          <w:color w:val="000000"/>
          <w:u w:val="single"/>
        </w:rPr>
        <w:t>变压器的常规接地电阻与负载侧装置之间的关系可能会影响分流（变压器的阻抗越低，流进低压系统的浪涌电流越大）</w:t>
      </w:r>
      <w:r>
        <w:rPr>
          <w:rFonts w:hint="eastAsia" w:ascii="Times New Roman" w:hAnsi="Times New Roman" w:cs="Times New Roman"/>
          <w:color w:val="000000"/>
        </w:rPr>
        <w:t>；并联用户使低压系统的等效阻抗降低，可能会增加流入该系统的部分雷电流。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第1部分：总则》附录E.1.2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影响电力线中雷电流分流的因素有:因比值L/R的关系, 电缆的长度可能会影响电流的分流和波形特征；中性线和相线的阻抗差异可能会影响导线间的分流；不同的变压器阻抗可能会影响分流（如果变压器用与其阻抗并联的SPD保护，这种分流影响可以忽略）；变压器的常规接地电阻与负载侧装置之间的关系可能会影响分流（变压器的阻抗越低，流进低压系统的浪涌电流越大）；</w:t>
      </w:r>
      <w:r>
        <w:rPr>
          <w:rFonts w:hint="eastAsia" w:ascii="Times New Roman" w:hAnsi="Times New Roman" w:cs="Times New Roman"/>
          <w:color w:val="000000"/>
          <w:u w:val="single"/>
        </w:rPr>
        <w:t>并联用户使低压系统的等效阻抗降低，可能会增加流入该系统的部分雷电流</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 21714.1-2015《雷电防护 第1部分：总则》附录E.1.2</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云地间的大气放电, 由</w:t>
      </w:r>
      <w:r>
        <w:rPr>
          <w:rFonts w:hint="eastAsia" w:ascii="Times New Roman" w:hAnsi="Times New Roman" w:cs="Times New Roman"/>
          <w:color w:val="000000"/>
          <w:u w:val="single"/>
        </w:rPr>
        <w:t>一个或多个</w:t>
      </w:r>
      <w:r>
        <w:rPr>
          <w:rFonts w:hint="eastAsia" w:ascii="Times New Roman" w:hAnsi="Times New Roman" w:cs="Times New Roman"/>
          <w:color w:val="000000"/>
        </w:rPr>
        <w:t>雷击组成。</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始于云到地</w:t>
      </w:r>
      <w:r>
        <w:rPr>
          <w:rFonts w:hint="eastAsia" w:ascii="Times New Roman" w:hAnsi="Times New Roman" w:cs="Times New Roman"/>
          <w:color w:val="000000"/>
          <w:u w:val="single"/>
        </w:rPr>
        <w:t>一个向下先导</w:t>
      </w:r>
      <w:r>
        <w:rPr>
          <w:rFonts w:hint="eastAsia" w:ascii="Times New Roman" w:hAnsi="Times New Roman" w:cs="Times New Roman"/>
          <w:color w:val="000000"/>
        </w:rPr>
        <w:t>的雷闪是下行雷。</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上行雷是始于</w:t>
      </w:r>
      <w:r>
        <w:rPr>
          <w:rFonts w:hint="eastAsia" w:ascii="Times New Roman" w:hAnsi="Times New Roman" w:cs="Times New Roman"/>
          <w:color w:val="000000"/>
          <w:u w:val="single"/>
        </w:rPr>
        <w:t>地面建筑物到云端</w:t>
      </w:r>
      <w:r>
        <w:rPr>
          <w:rFonts w:hint="eastAsia" w:ascii="Times New Roman" w:hAnsi="Times New Roman" w:cs="Times New Roman"/>
          <w:color w:val="000000"/>
        </w:rPr>
        <w:t>一个</w:t>
      </w:r>
      <w:r>
        <w:rPr>
          <w:rFonts w:hint="eastAsia" w:ascii="Times New Roman" w:hAnsi="Times New Roman" w:cs="Times New Roman"/>
          <w:color w:val="000000"/>
          <w:u w:val="single"/>
        </w:rPr>
        <w:t>向上先导</w:t>
      </w:r>
      <w:r>
        <w:rPr>
          <w:rFonts w:hint="eastAsia" w:ascii="Times New Roman" w:hAnsi="Times New Roman" w:cs="Times New Roman"/>
          <w:color w:val="000000"/>
        </w:rPr>
        <w:t>的雷闪。</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雷击是</w:t>
      </w:r>
      <w:r>
        <w:rPr>
          <w:rFonts w:hint="eastAsia" w:ascii="Times New Roman" w:hAnsi="Times New Roman" w:cs="Times New Roman"/>
          <w:color w:val="000000"/>
          <w:u w:val="single"/>
        </w:rPr>
        <w:t>落地雷闪</w:t>
      </w:r>
      <w:r>
        <w:rPr>
          <w:rFonts w:hint="eastAsia" w:ascii="Times New Roman" w:hAnsi="Times New Roman" w:cs="Times New Roman"/>
          <w:color w:val="000000"/>
        </w:rPr>
        <w:t>中的单次放电。</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短雷击是雷闪的</w:t>
      </w:r>
      <w:r>
        <w:rPr>
          <w:rFonts w:hint="eastAsia" w:ascii="Times New Roman" w:hAnsi="Times New Roman" w:cs="Times New Roman"/>
          <w:color w:val="000000"/>
          <w:u w:val="single"/>
        </w:rPr>
        <w:t>组成部分</w:t>
      </w:r>
      <w:r>
        <w:rPr>
          <w:rFonts w:hint="eastAsia" w:ascii="Times New Roman" w:hAnsi="Times New Roman" w:cs="Times New Roman"/>
          <w:color w:val="000000"/>
        </w:rPr>
        <w:t>，它对应于一个</w:t>
      </w:r>
      <w:r>
        <w:rPr>
          <w:rFonts w:hint="eastAsia" w:ascii="Times New Roman" w:hAnsi="Times New Roman" w:cs="Times New Roman"/>
          <w:color w:val="000000"/>
          <w:u w:val="single"/>
        </w:rPr>
        <w:t>冲击电流</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长雷击是雷闪的</w:t>
      </w:r>
      <w:r>
        <w:rPr>
          <w:rFonts w:hint="eastAsia" w:ascii="Times New Roman" w:hAnsi="Times New Roman" w:cs="Times New Roman"/>
          <w:color w:val="000000"/>
          <w:u w:val="single"/>
        </w:rPr>
        <w:t>组成部分</w:t>
      </w:r>
      <w:r>
        <w:rPr>
          <w:rFonts w:hint="eastAsia" w:ascii="Times New Roman" w:hAnsi="Times New Roman" w:cs="Times New Roman"/>
          <w:color w:val="000000"/>
        </w:rPr>
        <w:t>，它对应于一个</w:t>
      </w:r>
      <w:r>
        <w:rPr>
          <w:rFonts w:hint="eastAsia" w:ascii="Times New Roman" w:hAnsi="Times New Roman" w:cs="Times New Roman"/>
          <w:color w:val="000000"/>
          <w:u w:val="single"/>
        </w:rPr>
        <w:t>连续电流</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第1部分：总则》第3.6条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多重雷击是平均由</w:t>
      </w:r>
      <w:r>
        <w:rPr>
          <w:rFonts w:hint="eastAsia" w:ascii="Times New Roman" w:hAnsi="Times New Roman" w:cs="Times New Roman"/>
          <w:color w:val="000000"/>
          <w:u w:val="single"/>
        </w:rPr>
        <w:t>3～4</w:t>
      </w:r>
      <w:r>
        <w:rPr>
          <w:rFonts w:hint="eastAsia" w:ascii="Times New Roman" w:hAnsi="Times New Roman" w:cs="Times New Roman"/>
          <w:color w:val="000000"/>
        </w:rPr>
        <w:t>个雷击组成的雷闪，两个雷击的时间间隔通常约为</w:t>
      </w:r>
      <w:r>
        <w:rPr>
          <w:rFonts w:hint="eastAsia" w:ascii="Times New Roman" w:hAnsi="Times New Roman" w:cs="Times New Roman"/>
          <w:color w:val="000000"/>
          <w:u w:val="single"/>
        </w:rPr>
        <w:t>50ms</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雷击点是雷电击中</w:t>
      </w:r>
      <w:r>
        <w:rPr>
          <w:rFonts w:hint="eastAsia" w:ascii="Times New Roman" w:hAnsi="Times New Roman" w:cs="Times New Roman"/>
          <w:color w:val="000000"/>
          <w:u w:val="single"/>
        </w:rPr>
        <w:t>大地</w:t>
      </w:r>
      <w:r>
        <w:rPr>
          <w:rFonts w:hint="eastAsia" w:ascii="Times New Roman" w:hAnsi="Times New Roman" w:cs="Times New Roman"/>
          <w:color w:val="000000"/>
        </w:rPr>
        <w:t>或</w:t>
      </w:r>
      <w:r>
        <w:rPr>
          <w:rFonts w:hint="eastAsia" w:ascii="Times New Roman" w:hAnsi="Times New Roman" w:cs="Times New Roman"/>
          <w:color w:val="000000"/>
          <w:u w:val="single"/>
        </w:rPr>
        <w:t>高耸物体（如建筑物、LPS、服务设施、树等）</w:t>
      </w:r>
      <w:r>
        <w:rPr>
          <w:rFonts w:hint="eastAsia" w:ascii="Times New Roman" w:hAnsi="Times New Roman" w:cs="Times New Roman"/>
          <w:color w:val="000000"/>
        </w:rPr>
        <w:t>的点。</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雷电流是流经</w:t>
      </w:r>
      <w:r>
        <w:rPr>
          <w:rFonts w:hint="eastAsia" w:ascii="Times New Roman" w:hAnsi="Times New Roman" w:cs="Times New Roman"/>
          <w:color w:val="000000"/>
          <w:u w:val="single"/>
        </w:rPr>
        <w:t>雷击点</w:t>
      </w:r>
      <w:r>
        <w:rPr>
          <w:rFonts w:hint="eastAsia" w:ascii="Times New Roman" w:hAnsi="Times New Roman" w:cs="Times New Roman"/>
          <w:color w:val="000000"/>
        </w:rPr>
        <w:t>的电流。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峰值是雷电流的</w:t>
      </w:r>
      <w:r>
        <w:rPr>
          <w:rFonts w:hint="eastAsia" w:ascii="Times New Roman" w:hAnsi="Times New Roman" w:cs="Times New Roman"/>
          <w:color w:val="000000"/>
          <w:u w:val="single"/>
        </w:rPr>
        <w:t>最大值</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第1部分：总则》第3.10条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冲击电流波头的平均陡度是数值上等于在</w:t>
      </w:r>
      <w:r>
        <w:rPr>
          <w:rFonts w:hint="eastAsia" w:ascii="Times New Roman" w:hAnsi="Times New Roman" w:cs="Times New Roman"/>
          <w:color w:val="000000"/>
          <w:u w:val="single"/>
        </w:rPr>
        <w:t>时间间隔t2-t1</w:t>
      </w:r>
      <w:r>
        <w:rPr>
          <w:rFonts w:hint="eastAsia" w:ascii="Times New Roman" w:hAnsi="Times New Roman" w:cs="Times New Roman"/>
          <w:color w:val="000000"/>
        </w:rPr>
        <w:t>内雷电流的</w:t>
      </w:r>
      <w:r>
        <w:rPr>
          <w:rFonts w:hint="eastAsia" w:ascii="Times New Roman" w:hAnsi="Times New Roman" w:cs="Times New Roman"/>
          <w:color w:val="000000"/>
          <w:u w:val="single"/>
        </w:rPr>
        <w:t>平均变化率</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冲击电流的波头时间是一个</w:t>
      </w:r>
      <w:r>
        <w:rPr>
          <w:rFonts w:hint="eastAsia" w:ascii="Times New Roman" w:hAnsi="Times New Roman" w:cs="Times New Roman"/>
          <w:color w:val="000000"/>
          <w:u w:val="single"/>
        </w:rPr>
        <w:t>虚拟参数</w:t>
      </w:r>
      <w:r>
        <w:rPr>
          <w:rFonts w:hint="eastAsia" w:ascii="Times New Roman" w:hAnsi="Times New Roman" w:cs="Times New Roman"/>
          <w:color w:val="000000"/>
        </w:rPr>
        <w:t>，定义为雷电流波头达到</w:t>
      </w:r>
      <w:r>
        <w:rPr>
          <w:rFonts w:hint="eastAsia" w:ascii="Times New Roman" w:hAnsi="Times New Roman" w:cs="Times New Roman"/>
          <w:color w:val="000000"/>
          <w:u w:val="single"/>
        </w:rPr>
        <w:t>10%峰值到90%峰值</w:t>
      </w:r>
      <w:r>
        <w:rPr>
          <w:rFonts w:hint="eastAsia" w:ascii="Times New Roman" w:hAnsi="Times New Roman" w:cs="Times New Roman"/>
          <w:color w:val="000000"/>
        </w:rPr>
        <w:t>时间间隔的1.25倍。</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冲击电流的视在原点是连接雷电流波头</w:t>
      </w:r>
      <w:r>
        <w:rPr>
          <w:rFonts w:hint="eastAsia" w:ascii="Times New Roman" w:hAnsi="Times New Roman" w:cs="Times New Roman"/>
          <w:color w:val="000000"/>
          <w:u w:val="single"/>
        </w:rPr>
        <w:t>10%和90%峰值</w:t>
      </w:r>
      <w:r>
        <w:rPr>
          <w:rFonts w:hint="eastAsia" w:ascii="Times New Roman" w:hAnsi="Times New Roman" w:cs="Times New Roman"/>
          <w:color w:val="000000"/>
        </w:rPr>
        <w:t>两参考点的直线与时间轴的交点。它位于雷电流达到</w:t>
      </w:r>
      <w:r>
        <w:rPr>
          <w:rFonts w:hint="eastAsia" w:ascii="Times New Roman" w:hAnsi="Times New Roman" w:cs="Times New Roman"/>
          <w:color w:val="000000"/>
          <w:u w:val="single"/>
        </w:rPr>
        <w:t>10%峰值</w:t>
      </w:r>
      <w:r>
        <w:rPr>
          <w:rFonts w:hint="eastAsia" w:ascii="Times New Roman" w:hAnsi="Times New Roman" w:cs="Times New Roman"/>
          <w:color w:val="000000"/>
        </w:rPr>
        <w:t>时刻之前</w:t>
      </w:r>
      <w:r>
        <w:rPr>
          <w:rFonts w:hint="eastAsia" w:ascii="Times New Roman" w:hAnsi="Times New Roman" w:cs="Times New Roman"/>
          <w:color w:val="000000"/>
          <w:u w:val="single"/>
        </w:rPr>
        <w:t>0.1T1</w:t>
      </w:r>
      <w:r>
        <w:rPr>
          <w:rFonts w:hint="eastAsia" w:ascii="Times New Roman" w:hAnsi="Times New Roman" w:cs="Times New Roman"/>
          <w:color w:val="000000"/>
        </w:rPr>
        <w:t>处。</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冲击电流波尾半峰值时间是一个</w:t>
      </w:r>
      <w:r>
        <w:rPr>
          <w:rFonts w:hint="eastAsia" w:ascii="Times New Roman" w:hAnsi="Times New Roman" w:cs="Times New Roman"/>
          <w:color w:val="000000"/>
          <w:u w:val="single"/>
        </w:rPr>
        <w:t>虚拟参数</w:t>
      </w:r>
      <w:r>
        <w:rPr>
          <w:rFonts w:hint="eastAsia" w:ascii="Times New Roman" w:hAnsi="Times New Roman" w:cs="Times New Roman"/>
          <w:color w:val="000000"/>
        </w:rPr>
        <w:t>，定义为</w:t>
      </w:r>
      <w:r>
        <w:rPr>
          <w:rFonts w:hint="eastAsia" w:ascii="Times New Roman" w:hAnsi="Times New Roman" w:cs="Times New Roman"/>
          <w:color w:val="000000"/>
          <w:u w:val="single"/>
        </w:rPr>
        <w:t>视在原点O</w:t>
      </w:r>
      <w:r>
        <w:rPr>
          <w:rFonts w:hint="eastAsia" w:ascii="Times New Roman" w:hAnsi="Times New Roman" w:cs="Times New Roman"/>
          <w:color w:val="000000"/>
          <w:u w:val="single"/>
          <w:vertAlign w:val="subscript"/>
        </w:rPr>
        <w:t>1</w:t>
      </w:r>
      <w:r>
        <w:rPr>
          <w:rFonts w:hint="eastAsia" w:ascii="Times New Roman" w:hAnsi="Times New Roman" w:cs="Times New Roman"/>
          <w:color w:val="000000"/>
        </w:rPr>
        <w:t>到雷电流下降至</w:t>
      </w:r>
      <w:r>
        <w:rPr>
          <w:rFonts w:hint="eastAsia" w:ascii="Times New Roman" w:hAnsi="Times New Roman" w:cs="Times New Roman"/>
          <w:color w:val="000000"/>
          <w:u w:val="single"/>
        </w:rPr>
        <w:t>峰值一半</w:t>
      </w:r>
      <w:r>
        <w:rPr>
          <w:rFonts w:hint="eastAsia" w:ascii="Times New Roman" w:hAnsi="Times New Roman" w:cs="Times New Roman"/>
          <w:color w:val="000000"/>
        </w:rPr>
        <w:t>时的时间间隔。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雷闪持续时间是雷电流流过</w:t>
      </w:r>
      <w:r>
        <w:rPr>
          <w:rFonts w:hint="eastAsia" w:ascii="Times New Roman" w:hAnsi="Times New Roman" w:cs="Times New Roman"/>
          <w:color w:val="000000"/>
          <w:u w:val="single"/>
        </w:rPr>
        <w:t>雷击点</w:t>
      </w:r>
      <w:r>
        <w:rPr>
          <w:rFonts w:hint="eastAsia" w:ascii="Times New Roman" w:hAnsi="Times New Roman" w:cs="Times New Roman"/>
          <w:color w:val="000000"/>
        </w:rPr>
        <w:t>的时间。</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长时间雷击电流的持续时间是</w:t>
      </w:r>
      <w:r>
        <w:rPr>
          <w:rFonts w:hint="eastAsia" w:ascii="Times New Roman" w:hAnsi="Times New Roman" w:cs="Times New Roman"/>
          <w:color w:val="000000"/>
          <w:u w:val="single"/>
        </w:rPr>
        <w:t>长雷击电流</w:t>
      </w:r>
      <w:r>
        <w:rPr>
          <w:rFonts w:hint="eastAsia" w:ascii="Times New Roman" w:hAnsi="Times New Roman" w:cs="Times New Roman"/>
          <w:color w:val="000000"/>
        </w:rPr>
        <w:t>的持续时间，是连续电流在</w:t>
      </w:r>
      <w:r>
        <w:rPr>
          <w:rFonts w:hint="eastAsia" w:ascii="Times New Roman" w:hAnsi="Times New Roman" w:cs="Times New Roman"/>
          <w:color w:val="000000"/>
          <w:u w:val="single"/>
        </w:rPr>
        <w:t>上升沿升到峰值的10%时至下降沿连续电流降到峰值10%</w:t>
      </w:r>
      <w:r>
        <w:rPr>
          <w:rFonts w:hint="eastAsia" w:ascii="Times New Roman" w:hAnsi="Times New Roman" w:cs="Times New Roman"/>
          <w:color w:val="000000"/>
        </w:rPr>
        <w:t>时的时间间隔。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第1部分：总则》第3.16条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雷闪电荷是整个</w:t>
      </w:r>
      <w:r>
        <w:rPr>
          <w:rFonts w:hint="eastAsia" w:ascii="Times New Roman" w:hAnsi="Times New Roman" w:cs="Times New Roman"/>
          <w:color w:val="000000"/>
          <w:u w:val="single"/>
        </w:rPr>
        <w:t>雷闪持续期间</w:t>
      </w:r>
      <w:r>
        <w:rPr>
          <w:rFonts w:hint="eastAsia" w:ascii="Times New Roman" w:hAnsi="Times New Roman" w:cs="Times New Roman"/>
          <w:color w:val="000000"/>
        </w:rPr>
        <w:t>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短时间雷击电荷是一次</w:t>
      </w:r>
      <w:r>
        <w:rPr>
          <w:rFonts w:hint="eastAsia" w:ascii="Times New Roman" w:hAnsi="Times New Roman" w:cs="Times New Roman"/>
          <w:color w:val="000000"/>
          <w:u w:val="single"/>
        </w:rPr>
        <w:t>短时间雷击</w:t>
      </w:r>
      <w:r>
        <w:rPr>
          <w:rFonts w:hint="eastAsia" w:ascii="Times New Roman" w:hAnsi="Times New Roman" w:cs="Times New Roman"/>
          <w:color w:val="000000"/>
        </w:rPr>
        <w:t>中雷电流对时间的积分。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长时间雷击电荷是一次</w:t>
      </w:r>
      <w:r>
        <w:rPr>
          <w:rFonts w:hint="eastAsia" w:ascii="Times New Roman" w:hAnsi="Times New Roman" w:cs="Times New Roman"/>
          <w:color w:val="000000"/>
          <w:u w:val="single"/>
        </w:rPr>
        <w:t>长时间雷击</w:t>
      </w:r>
      <w:r>
        <w:rPr>
          <w:rFonts w:hint="eastAsia" w:ascii="Times New Roman" w:hAnsi="Times New Roman" w:cs="Times New Roman"/>
          <w:color w:val="000000"/>
        </w:rPr>
        <w:t>中雷电流对时间的积分。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单位能量是</w:t>
      </w:r>
      <w:r>
        <w:rPr>
          <w:rFonts w:hint="eastAsia" w:ascii="Times New Roman" w:hAnsi="Times New Roman" w:cs="Times New Roman"/>
          <w:color w:val="000000"/>
          <w:u w:val="single"/>
        </w:rPr>
        <w:t>雷电流的平方</w:t>
      </w:r>
      <w:r>
        <w:rPr>
          <w:rFonts w:hint="eastAsia" w:ascii="Times New Roman" w:hAnsi="Times New Roman" w:cs="Times New Roman"/>
          <w:color w:val="000000"/>
        </w:rPr>
        <w:t>在整个雷闪持续期内对时间的积分。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第1部分：总则》第3.20条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冲击电流的单位能量是</w:t>
      </w:r>
      <w:r>
        <w:rPr>
          <w:rFonts w:hint="eastAsia" w:ascii="Times New Roman" w:hAnsi="Times New Roman" w:cs="Times New Roman"/>
          <w:color w:val="000000"/>
          <w:u w:val="single"/>
        </w:rPr>
        <w:t>雷电流的平方</w:t>
      </w:r>
      <w:r>
        <w:rPr>
          <w:rFonts w:hint="eastAsia" w:ascii="Times New Roman" w:hAnsi="Times New Roman" w:cs="Times New Roman"/>
          <w:color w:val="000000"/>
        </w:rPr>
        <w:t>在短时间雷击持续期内对时间的积分。</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线路是连接到需保护建筑物的</w:t>
      </w:r>
      <w:r>
        <w:rPr>
          <w:rFonts w:hint="eastAsia" w:ascii="Times New Roman" w:hAnsi="Times New Roman" w:cs="Times New Roman"/>
          <w:color w:val="000000"/>
          <w:u w:val="single"/>
        </w:rPr>
        <w:t>供电或者通信</w:t>
      </w:r>
      <w:r>
        <w:rPr>
          <w:rFonts w:hint="eastAsia" w:ascii="Times New Roman" w:hAnsi="Times New Roman" w:cs="Times New Roman"/>
          <w:color w:val="000000"/>
        </w:rPr>
        <w:t>线路。</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通信线路是用于各建筑物中</w:t>
      </w:r>
      <w:r>
        <w:rPr>
          <w:rFonts w:hint="eastAsia" w:ascii="Times New Roman" w:hAnsi="Times New Roman" w:cs="Times New Roman"/>
          <w:color w:val="000000"/>
          <w:u w:val="single"/>
        </w:rPr>
        <w:t>设备间通信</w:t>
      </w:r>
      <w:r>
        <w:rPr>
          <w:rFonts w:hint="eastAsia" w:ascii="Times New Roman" w:hAnsi="Times New Roman" w:cs="Times New Roman"/>
          <w:color w:val="000000"/>
        </w:rPr>
        <w:t>的线路，如</w:t>
      </w:r>
      <w:r>
        <w:rPr>
          <w:rFonts w:hint="eastAsia" w:ascii="Times New Roman" w:hAnsi="Times New Roman" w:cs="Times New Roman"/>
          <w:color w:val="000000"/>
          <w:u w:val="single"/>
        </w:rPr>
        <w:t>电话线路和数据线路</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供电线路是为</w:t>
      </w:r>
      <w:r>
        <w:rPr>
          <w:rFonts w:hint="eastAsia" w:ascii="Times New Roman" w:hAnsi="Times New Roman" w:cs="Times New Roman"/>
          <w:color w:val="000000"/>
          <w:u w:val="single"/>
        </w:rPr>
        <w:t>建筑物内的电气和电子设备</w:t>
      </w:r>
      <w:r>
        <w:rPr>
          <w:rFonts w:hint="eastAsia" w:ascii="Times New Roman" w:hAnsi="Times New Roman" w:cs="Times New Roman"/>
          <w:color w:val="000000"/>
        </w:rPr>
        <w:t>供电的配电线路，如</w:t>
      </w:r>
      <w:r>
        <w:rPr>
          <w:rFonts w:hint="eastAsia" w:ascii="Times New Roman" w:hAnsi="Times New Roman" w:cs="Times New Roman"/>
          <w:color w:val="000000"/>
          <w:u w:val="single"/>
        </w:rPr>
        <w:t>低压（LV）电源线或高压（LV）电源线</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雷击建筑物是指雷闪击中</w:t>
      </w:r>
      <w:r>
        <w:rPr>
          <w:rFonts w:hint="eastAsia" w:ascii="Times New Roman" w:hAnsi="Times New Roman" w:cs="Times New Roman"/>
          <w:color w:val="000000"/>
          <w:u w:val="single"/>
        </w:rPr>
        <w:t>需保护建筑物</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第1部分：总则》第3.26条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雷击建筑物附近是指雷闪击中</w:t>
      </w:r>
      <w:r>
        <w:rPr>
          <w:rFonts w:hint="eastAsia" w:ascii="Times New Roman" w:hAnsi="Times New Roman" w:cs="Times New Roman"/>
          <w:color w:val="000000"/>
          <w:u w:val="single"/>
        </w:rPr>
        <w:t>需保护建筑物附近</w:t>
      </w:r>
      <w:r>
        <w:rPr>
          <w:rFonts w:hint="eastAsia" w:ascii="Times New Roman" w:hAnsi="Times New Roman" w:cs="Times New Roman"/>
          <w:color w:val="000000"/>
        </w:rPr>
        <w:t>且可能产生</w:t>
      </w:r>
      <w:r>
        <w:rPr>
          <w:rFonts w:hint="eastAsia" w:ascii="Times New Roman" w:hAnsi="Times New Roman" w:cs="Times New Roman"/>
          <w:color w:val="000000"/>
          <w:u w:val="single"/>
        </w:rPr>
        <w:t>危险过电压</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物理损害是由于雷电的</w:t>
      </w:r>
      <w:r>
        <w:rPr>
          <w:rFonts w:hint="eastAsia" w:ascii="Times New Roman" w:hAnsi="Times New Roman" w:cs="Times New Roman"/>
          <w:color w:val="000000"/>
          <w:u w:val="single"/>
        </w:rPr>
        <w:t>机械、热、化学或爆炸</w:t>
      </w:r>
      <w:r>
        <w:rPr>
          <w:rFonts w:hint="eastAsia" w:ascii="Times New Roman" w:hAnsi="Times New Roman" w:cs="Times New Roman"/>
          <w:color w:val="000000"/>
        </w:rPr>
        <w:t>等效应对建筑物（或其内物体）所造成的损害。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人和动物伤害是雷电引起的</w:t>
      </w:r>
      <w:r>
        <w:rPr>
          <w:rFonts w:hint="eastAsia" w:ascii="Times New Roman" w:hAnsi="Times New Roman" w:cs="Times New Roman"/>
          <w:color w:val="000000"/>
          <w:u w:val="single"/>
        </w:rPr>
        <w:t>接触电压和跨步电压</w:t>
      </w:r>
      <w:r>
        <w:rPr>
          <w:rFonts w:hint="eastAsia" w:ascii="Times New Roman" w:hAnsi="Times New Roman" w:cs="Times New Roman"/>
          <w:color w:val="000000"/>
        </w:rPr>
        <w:t>通过电击对人和动物永久性伤害, 包括死亡。</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电气和电子系统失效是由于</w:t>
      </w:r>
      <w:r>
        <w:rPr>
          <w:rFonts w:hint="eastAsia" w:ascii="Times New Roman" w:hAnsi="Times New Roman" w:cs="Times New Roman"/>
          <w:color w:val="000000"/>
          <w:u w:val="single"/>
        </w:rPr>
        <w:t>雷电电磁脉冲（LEMP）</w:t>
      </w:r>
      <w:r>
        <w:rPr>
          <w:rFonts w:hint="eastAsia" w:ascii="Times New Roman" w:hAnsi="Times New Roman" w:cs="Times New Roman"/>
          <w:color w:val="000000"/>
        </w:rPr>
        <w:t>导致电气和电子系统的</w:t>
      </w:r>
      <w:r>
        <w:rPr>
          <w:rFonts w:hint="eastAsia" w:ascii="Times New Roman" w:hAnsi="Times New Roman" w:cs="Times New Roman"/>
          <w:color w:val="000000"/>
          <w:u w:val="single"/>
        </w:rPr>
        <w:t>永久性</w:t>
      </w:r>
      <w:r>
        <w:rPr>
          <w:rFonts w:hint="eastAsia" w:ascii="Times New Roman" w:hAnsi="Times New Roman" w:cs="Times New Roman"/>
          <w:color w:val="000000"/>
        </w:rPr>
        <w:t>损害。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雷电电磁脉冲是雷电流经</w:t>
      </w:r>
      <w:r>
        <w:rPr>
          <w:rFonts w:hint="eastAsia" w:ascii="Times New Roman" w:hAnsi="Times New Roman" w:cs="Times New Roman"/>
          <w:color w:val="000000"/>
          <w:u w:val="single"/>
        </w:rPr>
        <w:t>电阻性、电感性和电容性</w:t>
      </w:r>
      <w:r>
        <w:rPr>
          <w:rFonts w:hint="eastAsia" w:ascii="Times New Roman" w:hAnsi="Times New Roman" w:cs="Times New Roman"/>
          <w:color w:val="000000"/>
        </w:rPr>
        <w:t>耦合产生的各种电磁效应，包括</w:t>
      </w:r>
      <w:r>
        <w:rPr>
          <w:rFonts w:hint="eastAsia" w:ascii="Times New Roman" w:hAnsi="Times New Roman" w:cs="Times New Roman"/>
          <w:color w:val="000000"/>
          <w:u w:val="single"/>
        </w:rPr>
        <w:t>浪涌和辐射</w:t>
      </w:r>
      <w:r>
        <w:rPr>
          <w:rFonts w:hint="eastAsia" w:ascii="Times New Roman" w:hAnsi="Times New Roman" w:cs="Times New Roman"/>
          <w:color w:val="000000"/>
        </w:rPr>
        <w:t>电磁场。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风险是雷电造成的</w:t>
      </w:r>
      <w:r>
        <w:rPr>
          <w:rFonts w:hint="eastAsia" w:ascii="Times New Roman" w:hAnsi="Times New Roman" w:cs="Times New Roman"/>
          <w:color w:val="000000"/>
          <w:u w:val="single"/>
        </w:rPr>
        <w:t>年均可能损失（人员和物）</w:t>
      </w:r>
      <w:r>
        <w:rPr>
          <w:rFonts w:hint="eastAsia" w:ascii="Times New Roman" w:hAnsi="Times New Roman" w:cs="Times New Roman"/>
          <w:color w:val="000000"/>
        </w:rPr>
        <w:t>与需保护建筑物的总价值（人员和物）之比。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风险是雷电造成的年均可能损失（人员和物）与</w:t>
      </w:r>
      <w:r>
        <w:rPr>
          <w:rFonts w:hint="eastAsia" w:ascii="Times New Roman" w:hAnsi="Times New Roman" w:cs="Times New Roman"/>
          <w:color w:val="000000"/>
          <w:u w:val="single"/>
        </w:rPr>
        <w:t>需保护建筑物的总价值（人员和物）</w:t>
      </w:r>
      <w:r>
        <w:rPr>
          <w:rFonts w:hint="eastAsia" w:ascii="Times New Roman" w:hAnsi="Times New Roman" w:cs="Times New Roman"/>
          <w:color w:val="000000"/>
        </w:rPr>
        <w:t>之比。</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风险容许值是</w:t>
      </w:r>
      <w:r>
        <w:rPr>
          <w:rFonts w:hint="eastAsia" w:ascii="Times New Roman" w:hAnsi="Times New Roman" w:cs="Times New Roman"/>
          <w:color w:val="000000"/>
          <w:u w:val="single"/>
        </w:rPr>
        <w:t>需保护建筑物所能容许</w:t>
      </w:r>
      <w:r>
        <w:rPr>
          <w:rFonts w:hint="eastAsia" w:ascii="Times New Roman" w:hAnsi="Times New Roman" w:cs="Times New Roman"/>
          <w:color w:val="000000"/>
        </w:rPr>
        <w:t>的最大风险值。</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雷电防护等级是指与一组雷电流参数值有关的</w:t>
      </w:r>
      <w:r>
        <w:rPr>
          <w:rFonts w:hint="eastAsia" w:ascii="Times New Roman" w:hAnsi="Times New Roman" w:cs="Times New Roman"/>
          <w:color w:val="000000"/>
          <w:u w:val="single"/>
        </w:rPr>
        <w:t>序数</w:t>
      </w:r>
      <w:r>
        <w:rPr>
          <w:rFonts w:hint="eastAsia" w:ascii="Times New Roman" w:hAnsi="Times New Roman" w:cs="Times New Roman"/>
          <w:color w:val="000000"/>
        </w:rPr>
        <w:t>，该组参数值与在自然界发生雷电时</w:t>
      </w:r>
      <w:r>
        <w:rPr>
          <w:rFonts w:hint="eastAsia" w:ascii="Times New Roman" w:hAnsi="Times New Roman" w:cs="Times New Roman"/>
          <w:color w:val="000000"/>
          <w:u w:val="single"/>
        </w:rPr>
        <w:t>最大和最小设计值</w:t>
      </w:r>
      <w:r>
        <w:rPr>
          <w:rFonts w:hint="eastAsia" w:ascii="Times New Roman" w:hAnsi="Times New Roman" w:cs="Times New Roman"/>
          <w:color w:val="000000"/>
        </w:rPr>
        <w:t>不被超出的概率有关。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雷电防护等级是指与一组雷电流参数值有关的序数，该组参数值与</w:t>
      </w:r>
      <w:r>
        <w:rPr>
          <w:rFonts w:hint="eastAsia" w:ascii="Times New Roman" w:hAnsi="Times New Roman" w:cs="Times New Roman"/>
          <w:color w:val="000000"/>
          <w:u w:val="single"/>
        </w:rPr>
        <w:t>在自然界发生雷电时最大和最小设计值不被超出的概率</w:t>
      </w:r>
      <w:r>
        <w:rPr>
          <w:rFonts w:hint="eastAsia" w:ascii="Times New Roman" w:hAnsi="Times New Roman" w:cs="Times New Roman"/>
          <w:color w:val="000000"/>
        </w:rPr>
        <w:t>有关。</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防护措施是为减小需保护建筑物</w:t>
      </w:r>
      <w:r>
        <w:rPr>
          <w:rFonts w:hint="eastAsia" w:ascii="Times New Roman" w:hAnsi="Times New Roman" w:cs="Times New Roman"/>
          <w:color w:val="000000"/>
          <w:u w:val="single"/>
        </w:rPr>
        <w:t>雷电损害风险</w:t>
      </w:r>
      <w:r>
        <w:rPr>
          <w:rFonts w:hint="eastAsia" w:ascii="Times New Roman" w:hAnsi="Times New Roman" w:cs="Times New Roman"/>
          <w:color w:val="000000"/>
        </w:rPr>
        <w:t>而采取的措施。</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第1部分：总则》第3.40条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雷电防护是指用于</w:t>
      </w:r>
      <w:r>
        <w:rPr>
          <w:rFonts w:hint="eastAsia" w:ascii="Times New Roman" w:hAnsi="Times New Roman" w:cs="Times New Roman"/>
          <w:color w:val="000000"/>
          <w:u w:val="single"/>
        </w:rPr>
        <w:t>建筑物（包括其内部系统、物体以及人员）防雷</w:t>
      </w:r>
      <w:r>
        <w:rPr>
          <w:rFonts w:hint="eastAsia" w:ascii="Times New Roman" w:hAnsi="Times New Roman" w:cs="Times New Roman"/>
          <w:color w:val="000000"/>
        </w:rPr>
        <w:t>的整个系统，通常包括</w:t>
      </w:r>
      <w:r>
        <w:rPr>
          <w:rFonts w:hint="eastAsia" w:ascii="Times New Roman" w:hAnsi="Times New Roman" w:cs="Times New Roman"/>
          <w:color w:val="000000"/>
          <w:u w:val="single"/>
        </w:rPr>
        <w:t>LPS和SPM</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雷电防护装置是用来</w:t>
      </w:r>
      <w:r>
        <w:rPr>
          <w:rFonts w:hint="eastAsia" w:ascii="Times New Roman" w:hAnsi="Times New Roman" w:cs="Times New Roman"/>
          <w:color w:val="000000"/>
          <w:u w:val="single"/>
        </w:rPr>
        <w:t>减小雷击建筑物</w:t>
      </w:r>
      <w:r>
        <w:rPr>
          <w:rFonts w:hint="eastAsia" w:ascii="Times New Roman" w:hAnsi="Times New Roman" w:cs="Times New Roman"/>
          <w:color w:val="000000"/>
        </w:rPr>
        <w:t>造成</w:t>
      </w:r>
      <w:r>
        <w:rPr>
          <w:rFonts w:hint="eastAsia" w:ascii="Times New Roman" w:hAnsi="Times New Roman" w:cs="Times New Roman"/>
          <w:color w:val="000000"/>
          <w:u w:val="single"/>
        </w:rPr>
        <w:t>物理损害</w:t>
      </w:r>
      <w:r>
        <w:rPr>
          <w:rFonts w:hint="eastAsia" w:ascii="Times New Roman" w:hAnsi="Times New Roman" w:cs="Times New Roman"/>
          <w:color w:val="000000"/>
        </w:rPr>
        <w:t>的整个系统。</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接闪器是指</w:t>
      </w:r>
      <w:r>
        <w:rPr>
          <w:rFonts w:hint="eastAsia" w:ascii="Times New Roman" w:hAnsi="Times New Roman" w:cs="Times New Roman"/>
          <w:color w:val="000000"/>
          <w:u w:val="single"/>
        </w:rPr>
        <w:t>外部LPS</w:t>
      </w:r>
      <w:r>
        <w:rPr>
          <w:rFonts w:hint="eastAsia" w:ascii="Times New Roman" w:hAnsi="Times New Roman" w:cs="Times New Roman"/>
          <w:color w:val="000000"/>
        </w:rPr>
        <w:t>组成部分，用于</w:t>
      </w:r>
      <w:r>
        <w:rPr>
          <w:rFonts w:hint="eastAsia" w:ascii="Times New Roman" w:hAnsi="Times New Roman" w:cs="Times New Roman"/>
          <w:color w:val="000000"/>
          <w:u w:val="single"/>
        </w:rPr>
        <w:t>截获雷击</w:t>
      </w:r>
      <w:r>
        <w:rPr>
          <w:rFonts w:hint="eastAsia" w:ascii="Times New Roman" w:hAnsi="Times New Roman" w:cs="Times New Roman"/>
          <w:color w:val="000000"/>
        </w:rPr>
        <w:t>的金属部件，如接闪针、接闪网或接闪线。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引下线是指</w:t>
      </w:r>
      <w:r>
        <w:rPr>
          <w:rFonts w:hint="eastAsia" w:ascii="Times New Roman" w:hAnsi="Times New Roman" w:cs="Times New Roman"/>
          <w:color w:val="000000"/>
          <w:u w:val="single"/>
        </w:rPr>
        <w:t>外部LPS</w:t>
      </w:r>
      <w:r>
        <w:rPr>
          <w:rFonts w:hint="eastAsia" w:ascii="Times New Roman" w:hAnsi="Times New Roman" w:cs="Times New Roman"/>
          <w:color w:val="000000"/>
        </w:rPr>
        <w:t>组成部分，用于将雷电流从</w:t>
      </w:r>
      <w:r>
        <w:rPr>
          <w:rFonts w:hint="eastAsia" w:ascii="Times New Roman" w:hAnsi="Times New Roman" w:cs="Times New Roman"/>
          <w:color w:val="000000"/>
          <w:u w:val="single"/>
        </w:rPr>
        <w:t>接闪器传导至接地装置</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第1部分：总则》第3.46条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接地装置是指</w:t>
      </w:r>
      <w:r>
        <w:rPr>
          <w:rFonts w:hint="eastAsia" w:ascii="Times New Roman" w:hAnsi="Times New Roman" w:cs="Times New Roman"/>
          <w:color w:val="000000"/>
          <w:u w:val="single"/>
        </w:rPr>
        <w:t>外部LPS</w:t>
      </w:r>
      <w:r>
        <w:rPr>
          <w:rFonts w:hint="eastAsia" w:ascii="Times New Roman" w:hAnsi="Times New Roman" w:cs="Times New Roman"/>
          <w:color w:val="000000"/>
        </w:rPr>
        <w:t>的组成部分，用于将雷电流</w:t>
      </w:r>
      <w:r>
        <w:rPr>
          <w:rFonts w:hint="eastAsia" w:ascii="Times New Roman" w:hAnsi="Times New Roman" w:cs="Times New Roman"/>
          <w:color w:val="000000"/>
          <w:u w:val="single"/>
        </w:rPr>
        <w:t>传导并散入大地</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第1部分：总则》第3.47条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外部导电部件是进出需保护建筑物的</w:t>
      </w:r>
      <w:r>
        <w:rPr>
          <w:rFonts w:hint="eastAsia" w:ascii="Times New Roman" w:hAnsi="Times New Roman" w:cs="Times New Roman"/>
          <w:color w:val="000000"/>
          <w:u w:val="single"/>
        </w:rPr>
        <w:t>金属延伸部件</w:t>
      </w:r>
      <w:r>
        <w:rPr>
          <w:rFonts w:hint="eastAsia" w:ascii="Times New Roman" w:hAnsi="Times New Roman" w:cs="Times New Roman"/>
          <w:color w:val="000000"/>
        </w:rPr>
        <w:t>，如管道、电缆金属部件、金属线槽等，它们可以流过部分</w:t>
      </w:r>
      <w:r>
        <w:rPr>
          <w:rFonts w:hint="eastAsia" w:ascii="Times New Roman" w:hAnsi="Times New Roman" w:cs="Times New Roman"/>
          <w:color w:val="000000"/>
          <w:u w:val="single"/>
        </w:rPr>
        <w:t>雷电流</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雷电等电位连接是为减少雷电流引起的</w:t>
      </w:r>
      <w:r>
        <w:rPr>
          <w:rFonts w:hint="eastAsia" w:ascii="Times New Roman" w:hAnsi="Times New Roman" w:cs="Times New Roman"/>
          <w:color w:val="000000"/>
          <w:u w:val="single"/>
        </w:rPr>
        <w:t>电位差</w:t>
      </w:r>
      <w:r>
        <w:rPr>
          <w:rFonts w:hint="eastAsia" w:ascii="Times New Roman" w:hAnsi="Times New Roman" w:cs="Times New Roman"/>
          <w:color w:val="000000"/>
        </w:rPr>
        <w:t>，直接用</w:t>
      </w:r>
      <w:r>
        <w:rPr>
          <w:rFonts w:hint="eastAsia" w:ascii="Times New Roman" w:hAnsi="Times New Roman" w:cs="Times New Roman"/>
          <w:color w:val="000000"/>
          <w:u w:val="single"/>
        </w:rPr>
        <w:t>导体或通过浪涌保护器</w:t>
      </w:r>
      <w:r>
        <w:rPr>
          <w:rFonts w:hint="eastAsia" w:ascii="Times New Roman" w:hAnsi="Times New Roman" w:cs="Times New Roman"/>
          <w:color w:val="000000"/>
        </w:rPr>
        <w:t>把分离的金属部件与LPS进行连接。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磁屏蔽是将需保护建筑物或其一部分包围起来的</w:t>
      </w:r>
      <w:r>
        <w:rPr>
          <w:rFonts w:hint="eastAsia" w:ascii="Times New Roman" w:hAnsi="Times New Roman" w:cs="Times New Roman"/>
          <w:color w:val="000000"/>
          <w:u w:val="single"/>
        </w:rPr>
        <w:t>闭合金属格栅或连续型屏蔽体</w:t>
      </w:r>
      <w:r>
        <w:rPr>
          <w:rFonts w:hint="eastAsia" w:ascii="Times New Roman" w:hAnsi="Times New Roman" w:cs="Times New Roman"/>
          <w:color w:val="000000"/>
        </w:rPr>
        <w:t>，用于减少</w:t>
      </w:r>
      <w:r>
        <w:rPr>
          <w:rFonts w:hint="eastAsia" w:ascii="Times New Roman" w:hAnsi="Times New Roman" w:cs="Times New Roman"/>
          <w:color w:val="000000"/>
          <w:u w:val="single"/>
        </w:rPr>
        <w:t>电气和电子系统</w:t>
      </w:r>
      <w:r>
        <w:rPr>
          <w:rFonts w:hint="eastAsia" w:ascii="Times New Roman" w:hAnsi="Times New Roman" w:cs="Times New Roman"/>
          <w:color w:val="000000"/>
        </w:rPr>
        <w:t>的失效。</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协调</w:t>
      </w:r>
      <w:r>
        <w:rPr>
          <w:rFonts w:ascii="Times New Roman" w:hAnsi="Times New Roman" w:cs="Times New Roman"/>
          <w:color w:val="000000"/>
        </w:rPr>
        <w:t>配合的SPD系统</w:t>
      </w:r>
      <w:r>
        <w:rPr>
          <w:rFonts w:hint="eastAsia" w:ascii="Times New Roman" w:hAnsi="Times New Roman" w:cs="Times New Roman"/>
          <w:color w:val="000000"/>
        </w:rPr>
        <w:t>是为了减少</w:t>
      </w:r>
      <w:r>
        <w:rPr>
          <w:rFonts w:hint="eastAsia" w:ascii="Times New Roman" w:hAnsi="Times New Roman" w:cs="Times New Roman"/>
          <w:color w:val="000000"/>
          <w:u w:val="single"/>
        </w:rPr>
        <w:t>电气和电子系统失效</w:t>
      </w:r>
      <w:r>
        <w:rPr>
          <w:rFonts w:hint="eastAsia" w:ascii="Times New Roman" w:hAnsi="Times New Roman" w:cs="Times New Roman"/>
          <w:color w:val="000000"/>
        </w:rPr>
        <w:t>而适当选择、配合并安装组成系统的一组SPD。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协调</w:t>
      </w:r>
      <w:r>
        <w:rPr>
          <w:rFonts w:ascii="Times New Roman" w:hAnsi="Times New Roman" w:cs="Times New Roman"/>
          <w:color w:val="000000"/>
        </w:rPr>
        <w:t>配合的SPD系统</w:t>
      </w:r>
      <w:r>
        <w:rPr>
          <w:rFonts w:hint="eastAsia" w:ascii="Times New Roman" w:hAnsi="Times New Roman" w:cs="Times New Roman"/>
          <w:color w:val="000000"/>
        </w:rPr>
        <w:t>是为了减少电气和电子系统失效而适当</w:t>
      </w:r>
      <w:r>
        <w:rPr>
          <w:rFonts w:hint="eastAsia" w:ascii="Times New Roman" w:hAnsi="Times New Roman" w:cs="Times New Roman"/>
          <w:color w:val="000000"/>
          <w:u w:val="single"/>
        </w:rPr>
        <w:t>选择、配合并安装组成系统</w:t>
      </w:r>
      <w:r>
        <w:rPr>
          <w:rFonts w:hint="eastAsia" w:ascii="Times New Roman" w:hAnsi="Times New Roman" w:cs="Times New Roman"/>
          <w:color w:val="000000"/>
        </w:rPr>
        <w:t>的一组SPD。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耐冲击电压额定</w:t>
      </w:r>
      <w:r>
        <w:rPr>
          <w:rFonts w:hint="eastAsia" w:ascii="Times New Roman" w:hAnsi="Times New Roman" w:cs="Times New Roman"/>
          <w:color w:val="000000"/>
        </w:rPr>
        <w:t>值是由厂家给</w:t>
      </w:r>
      <w:r>
        <w:rPr>
          <w:rFonts w:hint="eastAsia" w:ascii="Times New Roman" w:hAnsi="Times New Roman" w:cs="Times New Roman"/>
          <w:color w:val="000000"/>
          <w:u w:val="single"/>
        </w:rPr>
        <w:t>设备或其部件指定</w:t>
      </w:r>
      <w:r>
        <w:rPr>
          <w:rFonts w:hint="eastAsia" w:ascii="Times New Roman" w:hAnsi="Times New Roman" w:cs="Times New Roman"/>
          <w:color w:val="000000"/>
        </w:rPr>
        <w:t>的冲击耐受电压，用以表征其</w:t>
      </w:r>
      <w:r>
        <w:rPr>
          <w:rFonts w:hint="eastAsia" w:ascii="Times New Roman" w:hAnsi="Times New Roman" w:cs="Times New Roman"/>
          <w:color w:val="000000"/>
          <w:u w:val="single"/>
        </w:rPr>
        <w:t>绝缘对过电压</w:t>
      </w:r>
      <w:r>
        <w:rPr>
          <w:rFonts w:hint="eastAsia" w:ascii="Times New Roman" w:hAnsi="Times New Roman" w:cs="Times New Roman"/>
          <w:color w:val="000000"/>
        </w:rPr>
        <w:t>的规定耐受能力。</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隔离界面</w:t>
      </w:r>
      <w:r>
        <w:rPr>
          <w:rFonts w:hint="eastAsia" w:ascii="Times New Roman" w:hAnsi="Times New Roman" w:cs="Times New Roman"/>
          <w:color w:val="000000"/>
        </w:rPr>
        <w:t>是能够</w:t>
      </w:r>
      <w:r>
        <w:rPr>
          <w:rFonts w:hint="eastAsia" w:ascii="Times New Roman" w:hAnsi="Times New Roman" w:cs="Times New Roman"/>
          <w:color w:val="000000"/>
          <w:u w:val="single"/>
        </w:rPr>
        <w:t>减小或隔离</w:t>
      </w:r>
      <w:r>
        <w:rPr>
          <w:rFonts w:hint="eastAsia" w:ascii="Times New Roman" w:hAnsi="Times New Roman" w:cs="Times New Roman"/>
          <w:color w:val="000000"/>
        </w:rPr>
        <w:t>进入LPZ的线路上的</w:t>
      </w:r>
      <w:r>
        <w:rPr>
          <w:rFonts w:hint="eastAsia" w:ascii="Times New Roman" w:hAnsi="Times New Roman" w:cs="Times New Roman"/>
          <w:color w:val="000000"/>
          <w:u w:val="single"/>
        </w:rPr>
        <w:t>传导浪涌</w:t>
      </w:r>
      <w:r>
        <w:rPr>
          <w:rFonts w:hint="eastAsia" w:ascii="Times New Roman" w:hAnsi="Times New Roman" w:cs="Times New Roman"/>
          <w:color w:val="000000"/>
        </w:rPr>
        <w:t>的装置。</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第1部分：总则》第3.56条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LPS分类的决定性数据：</w:t>
      </w:r>
      <w:r>
        <w:rPr>
          <w:rFonts w:hint="eastAsia" w:ascii="Times New Roman" w:hAnsi="Times New Roman" w:cs="Times New Roman"/>
          <w:color w:val="000000"/>
          <w:u w:val="single"/>
        </w:rPr>
        <w:t>雷电参数</w:t>
      </w:r>
      <w:r>
        <w:rPr>
          <w:rFonts w:hint="eastAsia" w:ascii="Times New Roman" w:hAnsi="Times New Roman" w:cs="Times New Roman"/>
          <w:color w:val="000000"/>
        </w:rPr>
        <w:t>；滚球半径、网格尺寸和保护角；引下线和环形导体间的典型距离；避免危险火花的隔距；接地极的最小长度。</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第3部分：建筑物的物理损坏和生命危险》第4.1.a条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LPS分类的决定性数据：雷电参数；</w:t>
      </w:r>
      <w:r>
        <w:rPr>
          <w:rFonts w:hint="eastAsia" w:ascii="Times New Roman" w:hAnsi="Times New Roman" w:cs="Times New Roman"/>
          <w:color w:val="000000"/>
          <w:u w:val="single"/>
        </w:rPr>
        <w:t>滚球半径、网格尺寸和保护角</w:t>
      </w:r>
      <w:r>
        <w:rPr>
          <w:rFonts w:hint="eastAsia" w:ascii="Times New Roman" w:hAnsi="Times New Roman" w:cs="Times New Roman"/>
          <w:color w:val="000000"/>
        </w:rPr>
        <w:t>；引下线和环形导体间的典型距离；避免危险火花的隔距；接地极的最小长度。</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第3部分：建筑物的物理损坏和生命危险》第4.1.a条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LPS分类的决定性数据：雷电参数；滚球半径、网格尺寸和保护角；</w:t>
      </w:r>
      <w:r>
        <w:rPr>
          <w:rFonts w:hint="eastAsia" w:ascii="Times New Roman" w:hAnsi="Times New Roman" w:cs="Times New Roman"/>
          <w:color w:val="000000"/>
          <w:u w:val="single"/>
        </w:rPr>
        <w:t>引下线和环形导体间的典型距离</w:t>
      </w:r>
      <w:r>
        <w:rPr>
          <w:rFonts w:hint="eastAsia" w:ascii="Times New Roman" w:hAnsi="Times New Roman" w:cs="Times New Roman"/>
          <w:color w:val="000000"/>
        </w:rPr>
        <w:t>；避免危险火花的隔距；接地极的最小长度。</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第3部分：建筑物的物理损坏和生命危险》第4.1.a条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LPS分类的决定性数据：雷电参数；滚球半径、网格尺寸和保护角；引下线和环形导体间的典型距离；</w:t>
      </w:r>
      <w:r>
        <w:rPr>
          <w:rFonts w:hint="eastAsia" w:ascii="Times New Roman" w:hAnsi="Times New Roman" w:cs="Times New Roman"/>
          <w:color w:val="000000"/>
          <w:u w:val="single"/>
        </w:rPr>
        <w:t>避免危险火花的隔距</w:t>
      </w:r>
      <w:r>
        <w:rPr>
          <w:rFonts w:hint="eastAsia" w:ascii="Times New Roman" w:hAnsi="Times New Roman" w:cs="Times New Roman"/>
          <w:color w:val="000000"/>
        </w:rPr>
        <w:t>；接地极的最小长度。</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第3部分：建筑物的物理损坏和生命危险》第4.1.a条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LPS分类的决定性数据：雷电参数；滚球半径、网格尺寸和保护角；引下线和环形导体间的典型距离；避免危险火花的隔距；</w:t>
      </w:r>
      <w:r>
        <w:rPr>
          <w:rFonts w:hint="eastAsia" w:ascii="Times New Roman" w:hAnsi="Times New Roman" w:cs="Times New Roman"/>
          <w:color w:val="000000"/>
          <w:u w:val="single"/>
        </w:rPr>
        <w:t>接地极的最小长度</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第3部分：建筑物的物理损坏和生命危险》第4.1.a条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LPS分类的非决定性数据：</w:t>
      </w:r>
      <w:r>
        <w:rPr>
          <w:rFonts w:hint="eastAsia" w:ascii="Times New Roman" w:hAnsi="Times New Roman" w:cs="Times New Roman"/>
          <w:color w:val="000000"/>
          <w:u w:val="single"/>
        </w:rPr>
        <w:t>等电位连接</w:t>
      </w:r>
      <w:r>
        <w:rPr>
          <w:rFonts w:hint="eastAsia" w:ascii="Times New Roman" w:hAnsi="Times New Roman" w:cs="Times New Roman"/>
          <w:color w:val="000000"/>
        </w:rPr>
        <w:t>；接闪装置中金属板和金属管道的最小厚度；LPS的材料和使用条件；接闪器、引下线和接地装置的材料、结构和最小尺寸；连接导体的最小尺寸。</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LPS分类的非决定性数据：等电位连接；</w:t>
      </w:r>
      <w:r>
        <w:rPr>
          <w:rFonts w:hint="eastAsia" w:ascii="Times New Roman" w:hAnsi="Times New Roman" w:cs="Times New Roman"/>
          <w:color w:val="000000"/>
          <w:u w:val="single"/>
        </w:rPr>
        <w:t>接闪装置中金属板和金属管道的最小厚度</w:t>
      </w:r>
      <w:r>
        <w:rPr>
          <w:rFonts w:hint="eastAsia" w:ascii="Times New Roman" w:hAnsi="Times New Roman" w:cs="Times New Roman"/>
          <w:color w:val="000000"/>
        </w:rPr>
        <w:t>；LPS的材料和使用条件；接闪器、引下线和接地装置的材料、结构和最小尺寸；连接导体的最小尺寸。</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LPS分类的非决定性数据：等电位连接；接闪装置中金属板和金属管道的最小厚度；</w:t>
      </w:r>
      <w:r>
        <w:rPr>
          <w:rFonts w:hint="eastAsia" w:ascii="Times New Roman" w:hAnsi="Times New Roman" w:cs="Times New Roman"/>
          <w:color w:val="000000"/>
          <w:u w:val="single"/>
        </w:rPr>
        <w:t>LPS的材料和使用条件</w:t>
      </w:r>
      <w:r>
        <w:rPr>
          <w:rFonts w:hint="eastAsia" w:ascii="Times New Roman" w:hAnsi="Times New Roman" w:cs="Times New Roman"/>
          <w:color w:val="000000"/>
        </w:rPr>
        <w:t>；接闪器、引下线和接地装置的材料、结构和最小尺寸；连接导体的最小尺寸。</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LPS分类的非决定性数据：等电位连接；接闪装置中金属板和金属管道的最小厚度；LPS的材料和使用条件；</w:t>
      </w:r>
      <w:r>
        <w:rPr>
          <w:rFonts w:hint="eastAsia" w:ascii="Times New Roman" w:hAnsi="Times New Roman" w:cs="Times New Roman"/>
          <w:color w:val="000000"/>
          <w:u w:val="single"/>
        </w:rPr>
        <w:t>接闪器、引下线和接地装置的材料、结构和最小尺寸</w:t>
      </w:r>
      <w:r>
        <w:rPr>
          <w:rFonts w:hint="eastAsia" w:ascii="Times New Roman" w:hAnsi="Times New Roman" w:cs="Times New Roman"/>
          <w:color w:val="000000"/>
        </w:rPr>
        <w:t>；连接导体的最小尺寸。</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LPS分类的非决定性数据：等电位连接；接闪装置中金属板和金属管道的最小厚度；LPS的材料和使用条件；接闪器、引下线和接地装置的材料、结构和最小尺寸；</w:t>
      </w:r>
      <w:r>
        <w:rPr>
          <w:rFonts w:hint="eastAsia" w:ascii="Times New Roman" w:hAnsi="Times New Roman" w:cs="Times New Roman"/>
          <w:color w:val="000000"/>
          <w:u w:val="single"/>
        </w:rPr>
        <w:t>连接导体的最小尺寸</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第3部分：建筑物的物理损坏和生命危险》第4.1.b条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接闪器可由以下任一部件组成：</w:t>
      </w:r>
      <w:r>
        <w:rPr>
          <w:rFonts w:hint="eastAsia" w:ascii="Times New Roman" w:hAnsi="Times New Roman" w:cs="Times New Roman"/>
          <w:color w:val="000000"/>
          <w:u w:val="single"/>
        </w:rPr>
        <w:t>杆状接闪器（包括独立支座）</w:t>
      </w:r>
      <w:r>
        <w:rPr>
          <w:rFonts w:hint="eastAsia" w:ascii="Times New Roman" w:hAnsi="Times New Roman" w:cs="Times New Roman"/>
          <w:color w:val="000000"/>
        </w:rPr>
        <w:t>；悬链线；网状导体。</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接闪器可由以下任一部件组成：杆状接闪器（包括独立支座）；</w:t>
      </w:r>
      <w:r>
        <w:rPr>
          <w:rFonts w:hint="eastAsia" w:ascii="Times New Roman" w:hAnsi="Times New Roman" w:cs="Times New Roman"/>
          <w:color w:val="000000"/>
          <w:u w:val="single"/>
        </w:rPr>
        <w:t>悬链线</w:t>
      </w:r>
      <w:r>
        <w:rPr>
          <w:rFonts w:hint="eastAsia" w:ascii="Times New Roman" w:hAnsi="Times New Roman" w:cs="Times New Roman"/>
          <w:color w:val="000000"/>
        </w:rPr>
        <w:t>；网状导体。</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接闪器可由以下任一部件组成：杆状接闪器（包括独立支座）；悬链线；</w:t>
      </w:r>
      <w:r>
        <w:rPr>
          <w:rFonts w:hint="eastAsia" w:ascii="Times New Roman" w:hAnsi="Times New Roman" w:cs="Times New Roman"/>
          <w:color w:val="000000"/>
          <w:u w:val="single"/>
        </w:rPr>
        <w:t>网状导体</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接闪器应安装在</w:t>
      </w:r>
      <w:r>
        <w:rPr>
          <w:rFonts w:hint="eastAsia" w:ascii="Times New Roman" w:hAnsi="Times New Roman" w:cs="Times New Roman"/>
          <w:color w:val="000000"/>
          <w:u w:val="single"/>
        </w:rPr>
        <w:t>建筑物的角上、暴露在外的点、边缘（特别是屋顶边缘）</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第3部分：建筑物的物理损坏和生命危险》第5.2.2条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接闪器的定位通常有三种方式：</w:t>
      </w:r>
      <w:r>
        <w:rPr>
          <w:rFonts w:hint="eastAsia" w:ascii="Times New Roman" w:hAnsi="Times New Roman" w:cs="Times New Roman"/>
          <w:color w:val="000000"/>
          <w:u w:val="single"/>
        </w:rPr>
        <w:t>保护角法、滚球法、网格法</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21714.3-20105《雷电防护 第3部分：建筑物的物理损坏和生命危险》第5.2.2条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为减少由于雷电流通过LPS引起损坏的概率，引下线的布放可按以下几种方式从雷击点连接至大地：</w:t>
      </w:r>
      <w:r>
        <w:rPr>
          <w:rFonts w:hint="eastAsia" w:ascii="Times New Roman" w:hAnsi="Times New Roman" w:cs="Times New Roman"/>
          <w:color w:val="000000"/>
          <w:u w:val="single"/>
        </w:rPr>
        <w:t>有几个并联雷电流通道存在</w:t>
      </w:r>
      <w:r>
        <w:rPr>
          <w:rFonts w:hint="eastAsia" w:ascii="Times New Roman" w:hAnsi="Times New Roman" w:cs="Times New Roman"/>
          <w:color w:val="000000"/>
        </w:rPr>
        <w:t>、电流通道的长度保持最小、建筑物导电部件进行了等电位连接。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为减少由于雷电流通过LPS引起损坏的概率，引下线的布放可按以下几种方式从雷击点连接至大地：有几个并联雷电流通道存在、</w:t>
      </w:r>
      <w:r>
        <w:rPr>
          <w:rFonts w:hint="eastAsia" w:ascii="Times New Roman" w:hAnsi="Times New Roman" w:cs="Times New Roman"/>
          <w:color w:val="000000"/>
          <w:u w:val="single"/>
        </w:rPr>
        <w:t>电流通道的长度保持最小</w:t>
      </w:r>
      <w:r>
        <w:rPr>
          <w:rFonts w:hint="eastAsia" w:ascii="Times New Roman" w:hAnsi="Times New Roman" w:cs="Times New Roman"/>
          <w:color w:val="000000"/>
        </w:rPr>
        <w:t>、建筑物导电部件进行了等电位连接。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为减少由于雷电流通过LPS引起损坏的概率，引下线的布放可按以下几种方式从雷击点连接至大地：有几个并联雷电流通道存在、电流通道的长度保持最小、</w:t>
      </w:r>
      <w:r>
        <w:rPr>
          <w:rFonts w:hint="eastAsia" w:ascii="Times New Roman" w:hAnsi="Times New Roman" w:cs="Times New Roman"/>
          <w:color w:val="000000"/>
          <w:u w:val="single"/>
        </w:rPr>
        <w:t>建筑物导电部件进行了等电位连接</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第3部分：建筑物的物理损坏和生命危险》第5.3.1条</w:t>
      </w:r>
    </w:p>
    <w:p>
      <w:pPr>
        <w:pStyle w:val="5"/>
        <w:spacing w:before="0" w:beforeAutospacing="0" w:after="0" w:afterAutospacing="0" w:line="400" w:lineRule="exact"/>
        <w:ind w:firstLine="420"/>
        <w:rPr>
          <w:rFonts w:ascii="Times New Roman" w:hAnsi="Times New Roman" w:cs="Times New Roman"/>
          <w:color w:val="000000"/>
        </w:rPr>
      </w:pP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与受保护建筑物非分离的LPS，其引下线可按以下方式安装：</w:t>
      </w:r>
      <w:r>
        <w:rPr>
          <w:rFonts w:hint="eastAsia" w:ascii="Times New Roman" w:hAnsi="Times New Roman" w:cs="Times New Roman"/>
          <w:color w:val="000000"/>
          <w:u w:val="single"/>
        </w:rPr>
        <w:t>如果墙壁为非易燃材料，引下线可安装在墙表面或墙内</w:t>
      </w:r>
      <w:r>
        <w:rPr>
          <w:rFonts w:hint="eastAsia" w:ascii="Times New Roman" w:hAnsi="Times New Roman" w:cs="Times New Roman"/>
          <w:color w:val="000000"/>
        </w:rPr>
        <w:t>；如果墙壁为易燃材料，且雷电流通过时引起的温升不会对墙壁产生危险，引下线可安装在墙面上；如果墙壁为易燃材料，且雷电流通过时引起的温升会对墙壁产生危险，安装引下线时，应保证引下线与墙壁间的距离始终大于0.1m。安装支架可与墙壁接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与受保护建筑物非分离的LPS，其引下线可按以下方式安装：如果墙壁为非易燃材料，引下线可安装在墙表面或墙内；</w:t>
      </w:r>
      <w:r>
        <w:rPr>
          <w:rFonts w:hint="eastAsia" w:ascii="Times New Roman" w:hAnsi="Times New Roman" w:cs="Times New Roman"/>
          <w:color w:val="000000"/>
          <w:u w:val="single"/>
        </w:rPr>
        <w:t>如果墙壁为易燃材料，且雷电流通过时引起的温升不会对墙壁产生危险，引下线可安装在墙面上</w:t>
      </w:r>
      <w:r>
        <w:rPr>
          <w:rFonts w:hint="eastAsia" w:ascii="Times New Roman" w:hAnsi="Times New Roman" w:cs="Times New Roman"/>
          <w:color w:val="000000"/>
        </w:rPr>
        <w:t>；如果墙壁为易燃材料，且雷电流通过时引起的温升会对墙壁产生危险，安装引下线时，应保证引下线与墙壁间的距离始终大于0.1m。安装支架可与墙壁接触。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与受保护建筑物非分离的LPS，其引下线可按以下方式安装：如果墙壁为非易燃材料，引下线可安装在墙表面或墙内；如果墙壁为易燃材料，且雷电流通过时引起的温升不会对墙壁产生危险，引下线可安装在墙面上；</w:t>
      </w:r>
      <w:r>
        <w:rPr>
          <w:rFonts w:hint="eastAsia" w:ascii="Times New Roman" w:hAnsi="Times New Roman" w:cs="Times New Roman"/>
          <w:color w:val="000000"/>
          <w:u w:val="single"/>
        </w:rPr>
        <w:t>如果墙壁为易燃材料，且雷电流通过时引起的温升会对墙壁产生危险，安装引下线时，应保证引下线与墙壁间的距离始终大于0.1m</w:t>
      </w:r>
      <w:r>
        <w:rPr>
          <w:rFonts w:hint="eastAsia" w:ascii="Times New Roman" w:hAnsi="Times New Roman" w:cs="Times New Roman"/>
          <w:color w:val="000000"/>
        </w:rPr>
        <w:t>。安装支架可与墙壁接触。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与受保护建筑物非分离的LPS，其引下线可按以下方式安装：如果墙壁为非易燃材料，引下线可安装在墙表面或墙内；如果墙壁为易燃材料，且雷电流通过时引起的温升不会对墙壁产生危险，引下线可安装在墙面上；如果墙壁为易燃材料，且雷电流通过时引起的温升会对墙壁产生危险，安装引下线时，应保证引下线与墙壁间的距离始终大于0.1m。安装支架</w:t>
      </w:r>
      <w:r>
        <w:rPr>
          <w:rFonts w:hint="eastAsia" w:ascii="Times New Roman" w:hAnsi="Times New Roman" w:cs="Times New Roman"/>
          <w:color w:val="000000"/>
          <w:u w:val="single"/>
        </w:rPr>
        <w:t>可与</w:t>
      </w:r>
      <w:r>
        <w:rPr>
          <w:rFonts w:hint="eastAsia" w:ascii="Times New Roman" w:hAnsi="Times New Roman" w:cs="Times New Roman"/>
          <w:color w:val="000000"/>
        </w:rPr>
        <w:t>墙壁接触。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第3部分：建筑物的物理损坏和生命危险》第5.3.4条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危险火花可能出现在外部LPS与其它以下部件之间：</w:t>
      </w:r>
      <w:r>
        <w:rPr>
          <w:rFonts w:hint="eastAsia" w:ascii="Times New Roman" w:hAnsi="Times New Roman" w:cs="Times New Roman"/>
          <w:color w:val="000000"/>
          <w:u w:val="single"/>
        </w:rPr>
        <w:t>金属装置</w:t>
      </w:r>
      <w:r>
        <w:rPr>
          <w:rFonts w:hint="eastAsia" w:ascii="Times New Roman" w:hAnsi="Times New Roman" w:cs="Times New Roman"/>
          <w:color w:val="000000"/>
        </w:rPr>
        <w:t>；内部系统；与受保护建筑物相连的外部导体、导线。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危险火花可能出现在外部LPS与其它以下部件之间：金属装置；</w:t>
      </w:r>
      <w:r>
        <w:rPr>
          <w:rFonts w:hint="eastAsia" w:ascii="Times New Roman" w:hAnsi="Times New Roman" w:cs="Times New Roman"/>
          <w:color w:val="000000"/>
          <w:u w:val="single"/>
        </w:rPr>
        <w:t>内部系统</w:t>
      </w:r>
      <w:r>
        <w:rPr>
          <w:rFonts w:hint="eastAsia" w:ascii="Times New Roman" w:hAnsi="Times New Roman" w:cs="Times New Roman"/>
          <w:color w:val="000000"/>
        </w:rPr>
        <w:t>；与受保护建筑物相连的外部导体、导线。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危险火花可能出现在外部LPS与其它以下部件之间：金属装置；内部系统；</w:t>
      </w:r>
      <w:r>
        <w:rPr>
          <w:rFonts w:hint="eastAsia" w:ascii="Times New Roman" w:hAnsi="Times New Roman" w:cs="Times New Roman"/>
          <w:color w:val="000000"/>
          <w:u w:val="single"/>
        </w:rPr>
        <w:t>与受保护建筑物相连的外部导体、导线</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将LPS与以下部件互联可实现等电位:</w:t>
      </w:r>
      <w:r>
        <w:rPr>
          <w:rFonts w:hint="eastAsia" w:ascii="Times New Roman" w:hAnsi="Times New Roman" w:cs="Times New Roman"/>
          <w:color w:val="000000"/>
          <w:u w:val="single"/>
        </w:rPr>
        <w:t>建筑物的金属部件</w:t>
      </w:r>
      <w:r>
        <w:rPr>
          <w:rFonts w:hint="eastAsia" w:ascii="Times New Roman" w:hAnsi="Times New Roman" w:cs="Times New Roman"/>
          <w:color w:val="000000"/>
        </w:rPr>
        <w:t>；金属装置；内部系统；与建筑物相连的外部导体、导线。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将LPS与以下部件互联可实现等电位:建筑物的金属部件；</w:t>
      </w:r>
      <w:r>
        <w:rPr>
          <w:rFonts w:hint="eastAsia" w:ascii="Times New Roman" w:hAnsi="Times New Roman" w:cs="Times New Roman"/>
          <w:color w:val="000000"/>
          <w:u w:val="single"/>
        </w:rPr>
        <w:t>金属装置</w:t>
      </w:r>
      <w:r>
        <w:rPr>
          <w:rFonts w:hint="eastAsia" w:ascii="Times New Roman" w:hAnsi="Times New Roman" w:cs="Times New Roman"/>
          <w:color w:val="000000"/>
        </w:rPr>
        <w:t>；内部系统；与建筑物相连的外部导体、导线。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将LPS与以下部件互联可实现等电位:建筑物的金属部件；金属装置；</w:t>
      </w:r>
      <w:r>
        <w:rPr>
          <w:rFonts w:hint="eastAsia" w:ascii="Times New Roman" w:hAnsi="Times New Roman" w:cs="Times New Roman"/>
          <w:color w:val="000000"/>
          <w:u w:val="single"/>
        </w:rPr>
        <w:t>内部系统</w:t>
      </w:r>
      <w:r>
        <w:rPr>
          <w:rFonts w:hint="eastAsia" w:ascii="Times New Roman" w:hAnsi="Times New Roman" w:cs="Times New Roman"/>
          <w:color w:val="000000"/>
        </w:rPr>
        <w:t>；与建筑物相连的外部导体、导线。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将LPS与以下部件互联可实现等电位:建筑物的金属部件；金属装置；内部系统；</w:t>
      </w:r>
      <w:r>
        <w:rPr>
          <w:rFonts w:hint="eastAsia" w:ascii="Times New Roman" w:hAnsi="Times New Roman" w:cs="Times New Roman"/>
          <w:color w:val="000000"/>
          <w:u w:val="single"/>
        </w:rPr>
        <w:t>与建筑物相连的外部导体、导线</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对分离的外部LPS，只能</w:t>
      </w:r>
      <w:r>
        <w:rPr>
          <w:rFonts w:hint="eastAsia" w:ascii="Times New Roman" w:hAnsi="Times New Roman" w:cs="Times New Roman"/>
          <w:color w:val="000000"/>
          <w:u w:val="single"/>
        </w:rPr>
        <w:t>在地面上建立等电位连接</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如果内部系统的导线没有屏蔽层也没放在金属管道内，则必须</w:t>
      </w:r>
      <w:r>
        <w:rPr>
          <w:rFonts w:hint="eastAsia" w:ascii="Times New Roman" w:hAnsi="Times New Roman" w:cs="Times New Roman"/>
          <w:color w:val="000000"/>
          <w:u w:val="single"/>
        </w:rPr>
        <w:t>通过SPD连接</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第3部分：建筑物的物理损坏和生命危险》第6.2.4条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如果条件允许，外部LPS的所有部件（接闪器和引下线）至少应远离危险区域</w:t>
      </w:r>
      <w:r>
        <w:rPr>
          <w:rFonts w:hint="eastAsia" w:ascii="Times New Roman" w:hAnsi="Times New Roman" w:cs="Times New Roman"/>
          <w:color w:val="000000"/>
          <w:u w:val="single"/>
        </w:rPr>
        <w:t>1m</w:t>
      </w:r>
      <w:r>
        <w:rPr>
          <w:rFonts w:hint="eastAsia" w:ascii="Times New Roman" w:hAnsi="Times New Roman" w:cs="Times New Roman"/>
          <w:color w:val="000000"/>
        </w:rPr>
        <w:t>。如果条件不允许，距危险区</w:t>
      </w:r>
      <w:r>
        <w:rPr>
          <w:rFonts w:hint="eastAsia" w:ascii="Times New Roman" w:hAnsi="Times New Roman" w:cs="Times New Roman"/>
          <w:color w:val="000000"/>
          <w:u w:val="single"/>
        </w:rPr>
        <w:t>0.5m</w:t>
      </w:r>
      <w:r>
        <w:rPr>
          <w:rFonts w:hint="eastAsia" w:ascii="Times New Roman" w:hAnsi="Times New Roman" w:cs="Times New Roman"/>
          <w:color w:val="000000"/>
        </w:rPr>
        <w:t>区域内经过的导线应连续，应进行</w:t>
      </w:r>
      <w:r>
        <w:rPr>
          <w:rFonts w:hint="eastAsia" w:ascii="Times New Roman" w:hAnsi="Times New Roman" w:cs="Times New Roman"/>
          <w:color w:val="000000"/>
          <w:u w:val="single"/>
        </w:rPr>
        <w:t>牢固焊接或压接</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第3部分：建筑物的物理损坏和生命危险》第D.5.1条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为确保装置维持在符合后续使用要求的状态，最少应满足以下两个条件之一:</w:t>
      </w:r>
      <w:r>
        <w:rPr>
          <w:rFonts w:hint="eastAsia" w:ascii="Times New Roman" w:hAnsi="Times New Roman" w:cs="Times New Roman"/>
          <w:color w:val="000000"/>
          <w:u w:val="single"/>
        </w:rPr>
        <w:t>定期检查;专业人员的长期监督</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第3部分：建筑物的物理损坏和生命危险》第D.6.4条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 LPS应每隔</w:t>
      </w:r>
      <w:r>
        <w:rPr>
          <w:rFonts w:hint="eastAsia" w:ascii="Times New Roman" w:hAnsi="Times New Roman" w:cs="Times New Roman"/>
          <w:color w:val="000000"/>
          <w:u w:val="single"/>
        </w:rPr>
        <w:t>12（+2）</w:t>
      </w:r>
      <w:r>
        <w:rPr>
          <w:rFonts w:hint="eastAsia" w:ascii="Times New Roman" w:hAnsi="Times New Roman" w:cs="Times New Roman"/>
          <w:color w:val="000000"/>
        </w:rPr>
        <w:t>个月进行一次电气检查。</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第3部分：建筑物的物理损坏和生命危险》第D.6.5条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任何与LPS连接的单个物体，其直流阻值不能超过</w:t>
      </w:r>
      <w:r>
        <w:rPr>
          <w:rFonts w:hint="eastAsia" w:ascii="Times New Roman" w:hAnsi="Times New Roman" w:cs="Times New Roman"/>
          <w:color w:val="000000"/>
          <w:u w:val="single"/>
        </w:rPr>
        <w:t xml:space="preserve">0.2 </w:t>
      </w:r>
      <w:r>
        <w:rPr>
          <w:rFonts w:hint="eastAsia" w:ascii="Times New Roman" w:hAnsi="Times New Roman" w:cs="Times New Roman"/>
          <w:color w:val="000000"/>
        </w:rPr>
        <w:t>Ω</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第3部分：建筑物的物理损坏和生命危险》第D.6.5条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对易燃材料构成的屋顶或墙壁，应采用以下方法来防止由雷电流引起的对LPS导线的致热影响：</w:t>
      </w:r>
      <w:r>
        <w:rPr>
          <w:rFonts w:hint="eastAsia" w:ascii="Times New Roman" w:hAnsi="Times New Roman" w:cs="Times New Roman"/>
          <w:color w:val="000000"/>
          <w:u w:val="single"/>
        </w:rPr>
        <w:t>增大截面积来降低导线发热时温度</w:t>
      </w:r>
      <w:r>
        <w:rPr>
          <w:rFonts w:hint="eastAsia" w:ascii="Times New Roman" w:hAnsi="Times New Roman" w:cs="Times New Roman"/>
          <w:color w:val="000000"/>
        </w:rPr>
        <w:t>；增大导线与屋顶覆盖物之间的距离；在导线与易燃材料间增加隔热层。</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 2.4. 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对易燃材料构成的屋顶或墙壁，应采用以下方法来防止由雷电流引起的对LPS导线的致热影响：增大截面积来降低导线发热时温度；</w:t>
      </w:r>
      <w:r>
        <w:rPr>
          <w:rFonts w:hint="eastAsia" w:ascii="Times New Roman" w:hAnsi="Times New Roman" w:cs="Times New Roman"/>
          <w:color w:val="000000"/>
          <w:u w:val="single"/>
        </w:rPr>
        <w:t>增大导线与屋顶覆盖物之间的距离</w:t>
      </w:r>
      <w:r>
        <w:rPr>
          <w:rFonts w:hint="eastAsia" w:ascii="Times New Roman" w:hAnsi="Times New Roman" w:cs="Times New Roman"/>
          <w:color w:val="000000"/>
        </w:rPr>
        <w:t>；在导线与易燃材料间增加隔热层。</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 2.4. 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对易燃材料构成的屋顶或墙壁，应采用以下方法来防止由雷电流引起的对LPS导线的致热影响：增大截面积来降低导线发热时温度；增大导线与屋顶覆盖物之间的距离；</w:t>
      </w:r>
      <w:r>
        <w:rPr>
          <w:rFonts w:hint="eastAsia" w:ascii="Times New Roman" w:hAnsi="Times New Roman" w:cs="Times New Roman"/>
          <w:color w:val="000000"/>
          <w:u w:val="single"/>
        </w:rPr>
        <w:t>在导线与易燃材料间增加隔热层</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 2.4. 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接闪器导线和引下线应在屋面上用</w:t>
      </w:r>
      <w:r>
        <w:rPr>
          <w:rFonts w:hint="eastAsia" w:ascii="Times New Roman" w:hAnsi="Times New Roman" w:cs="Times New Roman"/>
          <w:color w:val="000000"/>
          <w:u w:val="single"/>
        </w:rPr>
        <w:t>导线</w:t>
      </w:r>
      <w:r>
        <w:rPr>
          <w:rFonts w:hint="eastAsia" w:ascii="Times New Roman" w:hAnsi="Times New Roman" w:cs="Times New Roman"/>
          <w:color w:val="000000"/>
        </w:rPr>
        <w:t>互联，可利于雷电流通过引下线分流。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 2.4. 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不在杆状接闪器保护范围内的金属屋顶装置，如果其尺寸不超过以下范围，则不需提供附加保护:</w:t>
      </w:r>
      <w:r>
        <w:rPr>
          <w:rFonts w:hint="eastAsia" w:ascii="Times New Roman" w:hAnsi="Times New Roman" w:cs="Times New Roman"/>
          <w:color w:val="000000"/>
          <w:u w:val="single"/>
        </w:rPr>
        <w:t>屋顶平面正上方0.3 m；上层建筑总面积1.0 m</w:t>
      </w:r>
      <w:r>
        <w:rPr>
          <w:rFonts w:hint="eastAsia" w:ascii="Times New Roman" w:hAnsi="Times New Roman" w:cs="Times New Roman"/>
          <w:color w:val="000000"/>
          <w:u w:val="single"/>
          <w:vertAlign w:val="superscript"/>
        </w:rPr>
        <w:t>2</w:t>
      </w:r>
      <w:r>
        <w:rPr>
          <w:rFonts w:hint="eastAsia" w:ascii="Times New Roman" w:hAnsi="Times New Roman" w:cs="Times New Roman"/>
          <w:color w:val="000000"/>
          <w:u w:val="single"/>
        </w:rPr>
        <w:t>；上层建筑的高度 2.0 m</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第3部分：建筑物的物理损坏和生命危险》第E.5.2.4.2.4条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不在杆状接闪器保护范围内的非导电屋顶装置，突出高度不超过</w:t>
      </w:r>
      <w:r>
        <w:rPr>
          <w:rFonts w:hint="eastAsia" w:ascii="Times New Roman" w:hAnsi="Times New Roman" w:cs="Times New Roman"/>
          <w:color w:val="000000"/>
          <w:u w:val="single"/>
        </w:rPr>
        <w:t>接闪器所在平面上方0.5m</w:t>
      </w:r>
      <w:r>
        <w:rPr>
          <w:rFonts w:hint="eastAsia" w:ascii="Times New Roman" w:hAnsi="Times New Roman" w:cs="Times New Roman"/>
          <w:color w:val="000000"/>
        </w:rPr>
        <w:t>处的非金属装置，不需提供附加保护。</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第3部分：建筑物的物理损坏和生命危险》第E.5.2.4.2.4条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如果建筑物屋顶土壤层厚度达到0.5m，且人员经常出入，需用</w:t>
      </w:r>
      <w:r>
        <w:rPr>
          <w:rFonts w:hint="eastAsia" w:ascii="Times New Roman" w:hAnsi="Times New Roman" w:cs="Times New Roman"/>
          <w:color w:val="000000"/>
          <w:u w:val="single"/>
        </w:rPr>
        <w:t>5m×5m</w:t>
      </w:r>
      <w:r>
        <w:rPr>
          <w:rFonts w:hint="eastAsia" w:ascii="Times New Roman" w:hAnsi="Times New Roman" w:cs="Times New Roman"/>
          <w:color w:val="000000"/>
        </w:rPr>
        <w:t>的网状接闪器来防止危险的跨步电压。</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第3部分：建筑物的物理损坏和生命危险》第E.5.2.4.2.8条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在大型扁平的建筑物内（例如：</w:t>
      </w:r>
      <w:r>
        <w:rPr>
          <w:rFonts w:hint="eastAsia" w:ascii="Times New Roman" w:hAnsi="Times New Roman" w:cs="Times New Roman"/>
          <w:color w:val="000000"/>
          <w:u w:val="single"/>
        </w:rPr>
        <w:t>工业用建筑物、展览大厅</w:t>
      </w:r>
      <w:r>
        <w:rPr>
          <w:rFonts w:hint="eastAsia" w:ascii="Times New Roman" w:hAnsi="Times New Roman" w:cs="Times New Roman"/>
          <w:color w:val="000000"/>
        </w:rPr>
        <w:t>等），尺寸超过引下线典型隔距的</w:t>
      </w:r>
      <w:r>
        <w:rPr>
          <w:rFonts w:hint="eastAsia" w:ascii="Times New Roman" w:hAnsi="Times New Roman" w:cs="Times New Roman"/>
          <w:color w:val="000000"/>
          <w:u w:val="single"/>
        </w:rPr>
        <w:t>4</w:t>
      </w:r>
      <w:r>
        <w:rPr>
          <w:rFonts w:hint="eastAsia" w:ascii="Times New Roman" w:hAnsi="Times New Roman" w:cs="Times New Roman"/>
          <w:color w:val="000000"/>
        </w:rPr>
        <w:t>倍，在任何可能的地方，大约每隔</w:t>
      </w:r>
      <w:r>
        <w:rPr>
          <w:rFonts w:hint="eastAsia" w:ascii="Times New Roman" w:hAnsi="Times New Roman" w:cs="Times New Roman"/>
          <w:color w:val="000000"/>
          <w:u w:val="single"/>
        </w:rPr>
        <w:t>40m</w:t>
      </w:r>
      <w:r>
        <w:rPr>
          <w:rFonts w:hint="eastAsia" w:ascii="Times New Roman" w:hAnsi="Times New Roman" w:cs="Times New Roman"/>
          <w:color w:val="000000"/>
        </w:rPr>
        <w:t>应安装其它内部引下线。</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第3部分：建筑物的物理损坏和生命危险》第E.5.3.4.2条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如果环形接地极离建筑物较远，则埋深应较深，具体为：距离建筑物4m处，埋深为</w:t>
      </w:r>
      <w:r>
        <w:rPr>
          <w:rFonts w:hint="eastAsia" w:ascii="Times New Roman" w:hAnsi="Times New Roman" w:cs="Times New Roman"/>
          <w:color w:val="000000"/>
          <w:u w:val="single"/>
        </w:rPr>
        <w:t>1m</w:t>
      </w:r>
      <w:r>
        <w:rPr>
          <w:rFonts w:hint="eastAsia" w:ascii="Times New Roman" w:hAnsi="Times New Roman" w:cs="Times New Roman"/>
          <w:color w:val="000000"/>
        </w:rPr>
        <w:t>；7m处，埋深为</w:t>
      </w:r>
      <w:r>
        <w:rPr>
          <w:rFonts w:hint="eastAsia" w:ascii="Times New Roman" w:hAnsi="Times New Roman" w:cs="Times New Roman"/>
          <w:color w:val="000000"/>
          <w:u w:val="single"/>
        </w:rPr>
        <w:t>1.5m</w:t>
      </w:r>
      <w:r>
        <w:rPr>
          <w:rFonts w:hint="eastAsia" w:ascii="Times New Roman" w:hAnsi="Times New Roman" w:cs="Times New Roman"/>
          <w:color w:val="000000"/>
        </w:rPr>
        <w:t>；10m处，埋深为</w:t>
      </w:r>
      <w:r>
        <w:rPr>
          <w:rFonts w:hint="eastAsia" w:ascii="Times New Roman" w:hAnsi="Times New Roman" w:cs="Times New Roman"/>
          <w:color w:val="000000"/>
          <w:u w:val="single"/>
        </w:rPr>
        <w:t>2m</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第3部分：建筑物的物理损坏和生命危险》第E.5.4.3.4条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LPS维护周期取决于以下因素：</w:t>
      </w:r>
      <w:r>
        <w:rPr>
          <w:rFonts w:hint="eastAsia" w:ascii="Times New Roman" w:hAnsi="Times New Roman" w:cs="Times New Roman"/>
          <w:color w:val="000000"/>
          <w:u w:val="single"/>
        </w:rPr>
        <w:t>使性能劣化的气候和环境条件</w:t>
      </w:r>
      <w:r>
        <w:rPr>
          <w:rFonts w:hint="eastAsia" w:ascii="Times New Roman" w:hAnsi="Times New Roman" w:cs="Times New Roman"/>
          <w:color w:val="000000"/>
        </w:rPr>
        <w:t>；在雷击活动区的暴露程度；建筑物的保护等级。</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第3部分：建筑物的物理损坏和生命危险》第E.7.3.2条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LPS维护周期取决于以下因素：使性能劣化的气候和环境条件；</w:t>
      </w:r>
      <w:r>
        <w:rPr>
          <w:rFonts w:hint="eastAsia" w:ascii="Times New Roman" w:hAnsi="Times New Roman" w:cs="Times New Roman"/>
          <w:color w:val="000000"/>
          <w:u w:val="single"/>
        </w:rPr>
        <w:t>在雷击活动区的暴露程度</w:t>
      </w:r>
      <w:r>
        <w:rPr>
          <w:rFonts w:hint="eastAsia" w:ascii="Times New Roman" w:hAnsi="Times New Roman" w:cs="Times New Roman"/>
          <w:color w:val="000000"/>
        </w:rPr>
        <w:t>；建筑物的保护等级。</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第3部分：建筑物的物理损坏和生命危险》第E.7.3.2条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LPS维护周期取决于以下因素：使性能劣化的气候和环境条件；在雷击活动区的暴露程度；</w:t>
      </w:r>
      <w:r>
        <w:rPr>
          <w:rFonts w:hint="eastAsia" w:ascii="Times New Roman" w:hAnsi="Times New Roman" w:cs="Times New Roman"/>
          <w:color w:val="000000"/>
          <w:u w:val="single"/>
        </w:rPr>
        <w:t>建筑物的保护等级</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21714.3-20105《雷电防护 第3部分：建筑物的物理损坏和生命危险》第E.7.3.2条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对LEMP的基本防护措施包括：</w:t>
      </w:r>
      <w:r>
        <w:rPr>
          <w:rFonts w:hint="eastAsia" w:ascii="Times New Roman" w:hAnsi="Times New Roman" w:cs="Times New Roman"/>
          <w:color w:val="000000"/>
          <w:u w:val="single"/>
        </w:rPr>
        <w:t>接地和搭接</w:t>
      </w:r>
      <w:r>
        <w:rPr>
          <w:rFonts w:hint="eastAsia" w:ascii="Times New Roman" w:hAnsi="Times New Roman" w:cs="Times New Roman"/>
          <w:color w:val="000000"/>
        </w:rPr>
        <w:t>；磁屏蔽和布线；协调配合的SPD防护。</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第4部分：建筑物内电子和电气系统》第4.a.iii条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对LEMP的基本防护措施包括：接地和搭接；</w:t>
      </w:r>
      <w:r>
        <w:rPr>
          <w:rFonts w:hint="eastAsia" w:ascii="Times New Roman" w:hAnsi="Times New Roman" w:cs="Times New Roman"/>
          <w:color w:val="000000"/>
          <w:u w:val="single"/>
        </w:rPr>
        <w:t>磁屏蔽和布线</w:t>
      </w:r>
      <w:r>
        <w:rPr>
          <w:rFonts w:hint="eastAsia" w:ascii="Times New Roman" w:hAnsi="Times New Roman" w:cs="Times New Roman"/>
          <w:color w:val="000000"/>
        </w:rPr>
        <w:t>；协调配合的SPD防护。</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第4部分：建筑物内电子和电气系统》第4.a.iii条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对LEMP的基本防护措施包括：接地和搭接；磁屏蔽和布线；</w:t>
      </w:r>
      <w:r>
        <w:rPr>
          <w:rFonts w:hint="eastAsia" w:ascii="Times New Roman" w:hAnsi="Times New Roman" w:cs="Times New Roman"/>
          <w:color w:val="000000"/>
          <w:u w:val="single"/>
        </w:rPr>
        <w:t>协调配合的SPD防护</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第4部分：建筑物内电子和电气系统》第4.a.iii条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LEMP防护措施应能耐受安装地点的各种工况影响（例如，</w:t>
      </w:r>
      <w:r>
        <w:rPr>
          <w:rFonts w:hint="eastAsia" w:ascii="Times New Roman" w:hAnsi="Times New Roman" w:cs="Times New Roman"/>
          <w:color w:val="000000"/>
          <w:u w:val="single"/>
        </w:rPr>
        <w:t>温度、湿度、大气污染、震动、电压和电流</w:t>
      </w:r>
      <w:r>
        <w:rPr>
          <w:rFonts w:hint="eastAsia" w:ascii="Times New Roman" w:hAnsi="Times New Roman" w:cs="Times New Roman"/>
          <w:color w:val="000000"/>
        </w:rPr>
        <w:t>的影响）。</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合理的接地和搭接基于一个完整的接地系统，它包括：</w:t>
      </w:r>
      <w:r>
        <w:rPr>
          <w:rFonts w:hint="eastAsia" w:ascii="Times New Roman" w:hAnsi="Times New Roman" w:cs="Times New Roman"/>
          <w:color w:val="000000"/>
          <w:u w:val="single"/>
        </w:rPr>
        <w:t>接地装置（将雷电流泄放到大地）</w:t>
      </w:r>
      <w:r>
        <w:rPr>
          <w:rFonts w:hint="eastAsia" w:ascii="Times New Roman" w:hAnsi="Times New Roman" w:cs="Times New Roman"/>
          <w:color w:val="000000"/>
        </w:rPr>
        <w:t>；搭接网络（最大程度地降低电势差，减少磁场）。</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合理的接地和搭接基于一个完整的接地系统，它包括：接地装置（将雷电流泄放到大地）；</w:t>
      </w:r>
      <w:r>
        <w:rPr>
          <w:rFonts w:hint="eastAsia" w:ascii="Times New Roman" w:hAnsi="Times New Roman" w:cs="Times New Roman"/>
          <w:color w:val="000000"/>
          <w:u w:val="single"/>
        </w:rPr>
        <w:t>搭接网络（最大程度地降低电势差，减少磁场）</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第4部分：建筑物内电子和电气系统》第4.b条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LPMS检查包括</w:t>
      </w:r>
      <w:r>
        <w:rPr>
          <w:rFonts w:hint="eastAsia" w:ascii="Times New Roman" w:hAnsi="Times New Roman" w:cs="Times New Roman"/>
          <w:color w:val="000000"/>
          <w:u w:val="single"/>
        </w:rPr>
        <w:t>技术文档查验，目测检查和试验检测</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第4部分：建筑物内电子和电气系统》第4.e.ii条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对于无法目测检测的接地装置和搭接网络部件，应当进行</w:t>
      </w:r>
      <w:r>
        <w:rPr>
          <w:rFonts w:hint="eastAsia" w:ascii="Times New Roman" w:hAnsi="Times New Roman" w:cs="Times New Roman"/>
          <w:color w:val="000000"/>
          <w:u w:val="single"/>
        </w:rPr>
        <w:t>电气连通性</w:t>
      </w:r>
      <w:r>
        <w:rPr>
          <w:rFonts w:hint="eastAsia" w:ascii="Times New Roman" w:hAnsi="Times New Roman" w:cs="Times New Roman"/>
          <w:color w:val="000000"/>
        </w:rPr>
        <w:t>的检测。</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第4部分：建筑物内电子和电气系统》第4.1.c条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雷电流产生的</w:t>
      </w:r>
      <w:r>
        <w:rPr>
          <w:rFonts w:hint="eastAsia" w:ascii="Times New Roman" w:hAnsi="Times New Roman" w:cs="Times New Roman"/>
          <w:color w:val="000000"/>
          <w:u w:val="single"/>
        </w:rPr>
        <w:t>磁场</w:t>
      </w:r>
      <w:r>
        <w:rPr>
          <w:rFonts w:hint="eastAsia" w:ascii="Times New Roman" w:hAnsi="Times New Roman" w:cs="Times New Roman"/>
          <w:color w:val="000000"/>
        </w:rPr>
        <w:t>与雷电流有相同的波形。</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第4部分：建筑物内电子和电气系统》第A.1.1条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电子系统主要电磁危害源是</w:t>
      </w:r>
      <w:r>
        <w:rPr>
          <w:rFonts w:hint="eastAsia" w:ascii="Times New Roman" w:hAnsi="Times New Roman" w:cs="Times New Roman"/>
          <w:color w:val="000000"/>
          <w:u w:val="single"/>
        </w:rPr>
        <w:t>雷电流I</w:t>
      </w:r>
      <w:r>
        <w:rPr>
          <w:rFonts w:hint="eastAsia" w:ascii="Times New Roman" w:hAnsi="Times New Roman" w:cs="Times New Roman"/>
          <w:color w:val="000000"/>
          <w:u w:val="single"/>
          <w:vertAlign w:val="subscript"/>
        </w:rPr>
        <w:t>0</w:t>
      </w:r>
      <w:r>
        <w:rPr>
          <w:rFonts w:hint="eastAsia" w:ascii="Times New Roman" w:hAnsi="Times New Roman" w:cs="Times New Roman"/>
          <w:color w:val="000000"/>
          <w:u w:val="single"/>
        </w:rPr>
        <w:t>和磁场H</w:t>
      </w:r>
      <w:r>
        <w:rPr>
          <w:rFonts w:hint="eastAsia" w:ascii="Times New Roman" w:hAnsi="Times New Roman" w:cs="Times New Roman"/>
          <w:color w:val="000000"/>
          <w:u w:val="single"/>
          <w:vertAlign w:val="subscript"/>
        </w:rPr>
        <w:t>0</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磁场感应效应主要由</w:t>
      </w:r>
      <w:r>
        <w:rPr>
          <w:rFonts w:hint="eastAsia" w:ascii="Times New Roman" w:hAnsi="Times New Roman" w:cs="Times New Roman"/>
          <w:color w:val="000000"/>
          <w:u w:val="single"/>
        </w:rPr>
        <w:t>磁场波头上升沿</w:t>
      </w:r>
      <w:r>
        <w:rPr>
          <w:rFonts w:hint="eastAsia" w:ascii="Times New Roman" w:hAnsi="Times New Roman" w:cs="Times New Roman"/>
          <w:color w:val="000000"/>
        </w:rPr>
        <w:t>引起。</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构成有效屏蔽要求网格宽度典型值小于</w:t>
      </w:r>
      <w:r>
        <w:rPr>
          <w:rFonts w:hint="eastAsia" w:ascii="Times New Roman" w:hAnsi="Times New Roman" w:cs="Times New Roman"/>
          <w:color w:val="000000"/>
          <w:u w:val="single"/>
        </w:rPr>
        <w:t>5 m</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第4部分：建筑物内电子和电气系统》第A.2.2条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u w:val="single"/>
        </w:rPr>
        <w:t>合理的线路布线（使感应回路面积为最小）</w:t>
      </w:r>
      <w:r>
        <w:rPr>
          <w:rFonts w:hint="eastAsia" w:ascii="Times New Roman" w:hAnsi="Times New Roman" w:cs="Times New Roman"/>
          <w:color w:val="000000"/>
        </w:rPr>
        <w:t>，或者采用屏蔽电缆或金属电缆管道（减小内部感应效果），或者两种措施同时使用，可以减小电子系统内的感应浪涌。</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第4部分：建筑物内电子和电气系统》第A.2.3条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合理的线路布线（使感应回路面积为最小），或者</w:t>
      </w:r>
      <w:r>
        <w:rPr>
          <w:rFonts w:hint="eastAsia" w:ascii="Times New Roman" w:hAnsi="Times New Roman" w:cs="Times New Roman"/>
          <w:color w:val="000000"/>
          <w:u w:val="single"/>
        </w:rPr>
        <w:t>采用屏蔽电缆或金属电缆管道（减小内部感应效果）</w:t>
      </w:r>
      <w:r>
        <w:rPr>
          <w:rFonts w:hint="eastAsia" w:ascii="Times New Roman" w:hAnsi="Times New Roman" w:cs="Times New Roman"/>
          <w:color w:val="000000"/>
        </w:rPr>
        <w:t>，或者两种措施同时使用，可以减小电子系统内的感应浪涌。</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第4部分：建筑物内电子和电气系统》第A.2.3条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使用项目清单将便于进行</w:t>
      </w:r>
      <w:r>
        <w:rPr>
          <w:rFonts w:hint="eastAsia" w:ascii="Times New Roman" w:hAnsi="Times New Roman" w:cs="Times New Roman"/>
          <w:color w:val="000000"/>
          <w:u w:val="single"/>
        </w:rPr>
        <w:t>风险分析</w:t>
      </w:r>
      <w:r>
        <w:rPr>
          <w:rFonts w:hint="eastAsia" w:ascii="Times New Roman" w:hAnsi="Times New Roman" w:cs="Times New Roman"/>
          <w:color w:val="000000"/>
        </w:rPr>
        <w:t>和选择最恰当的</w:t>
      </w:r>
      <w:r>
        <w:rPr>
          <w:rFonts w:hint="eastAsia" w:ascii="Times New Roman" w:hAnsi="Times New Roman" w:cs="Times New Roman"/>
          <w:color w:val="000000"/>
          <w:u w:val="single"/>
        </w:rPr>
        <w:t>防护措施</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SPM的基本部分是</w:t>
      </w:r>
      <w:r>
        <w:rPr>
          <w:rFonts w:hint="eastAsia" w:ascii="Times New Roman" w:hAnsi="Times New Roman" w:cs="Times New Roman"/>
          <w:color w:val="000000"/>
          <w:u w:val="single"/>
        </w:rPr>
        <w:t>内部屏蔽</w:t>
      </w:r>
      <w:r>
        <w:rPr>
          <w:rFonts w:hint="eastAsia" w:ascii="Times New Roman" w:hAnsi="Times New Roman" w:cs="Times New Roman"/>
          <w:color w:val="000000"/>
        </w:rPr>
        <w:t>和</w:t>
      </w:r>
      <w:r>
        <w:rPr>
          <w:rFonts w:hint="eastAsia" w:ascii="Times New Roman" w:hAnsi="Times New Roman" w:cs="Times New Roman"/>
          <w:color w:val="000000"/>
          <w:u w:val="single"/>
        </w:rPr>
        <w:t>搭接网络</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第4部分：建筑物内电子和电气系统》第B.3条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LPZ对雷电磁场的空间屏蔽，要求其典型的格栅宽度须小于</w:t>
      </w:r>
      <w:r>
        <w:rPr>
          <w:rFonts w:hint="eastAsia" w:ascii="Times New Roman" w:hAnsi="Times New Roman" w:cs="Times New Roman"/>
          <w:color w:val="000000"/>
          <w:u w:val="single"/>
        </w:rPr>
        <w:t>5 m</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第4部分：建筑物内电子和电气系统》第B.1.1.5条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合理布线和屏蔽是降低</w:t>
      </w:r>
      <w:r>
        <w:rPr>
          <w:rFonts w:hint="eastAsia" w:ascii="Times New Roman" w:hAnsi="Times New Roman" w:cs="Times New Roman"/>
          <w:color w:val="000000"/>
          <w:u w:val="single"/>
        </w:rPr>
        <w:t>感应过压</w:t>
      </w:r>
      <w:r>
        <w:rPr>
          <w:rFonts w:hint="eastAsia" w:ascii="Times New Roman" w:hAnsi="Times New Roman" w:cs="Times New Roman"/>
          <w:color w:val="000000"/>
        </w:rPr>
        <w:t>的有效措施。</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第4部分：建筑物内电子和电气系统》第B.5条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将电缆敷设在搭接的</w:t>
      </w:r>
      <w:r>
        <w:rPr>
          <w:rFonts w:hint="eastAsia" w:ascii="Times New Roman" w:hAnsi="Times New Roman" w:cs="Times New Roman"/>
          <w:color w:val="000000"/>
          <w:u w:val="single"/>
        </w:rPr>
        <w:t>电缆管道</w:t>
      </w:r>
      <w:r>
        <w:rPr>
          <w:rFonts w:hint="eastAsia" w:ascii="Times New Roman" w:hAnsi="Times New Roman" w:cs="Times New Roman"/>
          <w:color w:val="000000"/>
        </w:rPr>
        <w:t>、</w:t>
      </w:r>
      <w:r>
        <w:rPr>
          <w:rFonts w:hint="eastAsia" w:ascii="Times New Roman" w:hAnsi="Times New Roman" w:cs="Times New Roman"/>
          <w:color w:val="000000"/>
          <w:u w:val="single"/>
        </w:rPr>
        <w:t>干线管道</w:t>
      </w:r>
      <w:r>
        <w:rPr>
          <w:rFonts w:hint="eastAsia" w:ascii="Times New Roman" w:hAnsi="Times New Roman" w:cs="Times New Roman"/>
          <w:color w:val="000000"/>
        </w:rPr>
        <w:t>或</w:t>
      </w:r>
      <w:r>
        <w:rPr>
          <w:rFonts w:hint="eastAsia" w:ascii="Times New Roman" w:hAnsi="Times New Roman" w:cs="Times New Roman"/>
          <w:color w:val="000000"/>
          <w:u w:val="single"/>
        </w:rPr>
        <w:t>金属导管</w:t>
      </w:r>
      <w:r>
        <w:rPr>
          <w:rFonts w:hint="eastAsia" w:ascii="Times New Roman" w:hAnsi="Times New Roman" w:cs="Times New Roman"/>
          <w:color w:val="000000"/>
        </w:rPr>
        <w:t>中，可以防止很高的感应电压和感应电流。</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第4部分：建筑物内电子和电气系统》第B.8.2条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连接独立建筑间的线路有下列两种：</w:t>
      </w:r>
      <w:r>
        <w:rPr>
          <w:rFonts w:hint="eastAsia" w:ascii="Times New Roman" w:hAnsi="Times New Roman" w:cs="Times New Roman"/>
          <w:color w:val="000000"/>
          <w:u w:val="single"/>
        </w:rPr>
        <w:t>绝缘线</w:t>
      </w:r>
      <w:r>
        <w:rPr>
          <w:rFonts w:hint="eastAsia" w:ascii="Times New Roman" w:hAnsi="Times New Roman" w:cs="Times New Roman"/>
          <w:color w:val="000000"/>
        </w:rPr>
        <w:t>、</w:t>
      </w:r>
      <w:r>
        <w:rPr>
          <w:rFonts w:hint="eastAsia" w:ascii="Times New Roman" w:hAnsi="Times New Roman" w:cs="Times New Roman"/>
          <w:color w:val="000000"/>
          <w:u w:val="single"/>
        </w:rPr>
        <w:t>金属线</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第4部分：建筑物内电子和电气系统》第B.9条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SPD合适电压保护水平的选择取决于：</w:t>
      </w:r>
      <w:r>
        <w:rPr>
          <w:rFonts w:hint="eastAsia" w:ascii="Times New Roman" w:hAnsi="Times New Roman" w:cs="Times New Roman"/>
          <w:color w:val="000000"/>
          <w:u w:val="single"/>
        </w:rPr>
        <w:t>受保护设备的额定冲击耐受电压U</w:t>
      </w:r>
      <w:r>
        <w:rPr>
          <w:rFonts w:hint="eastAsia" w:ascii="Times New Roman" w:hAnsi="Times New Roman" w:cs="Times New Roman"/>
          <w:color w:val="000000"/>
          <w:u w:val="single"/>
          <w:vertAlign w:val="subscript"/>
        </w:rPr>
        <w:t>w</w:t>
      </w:r>
      <w:r>
        <w:rPr>
          <w:rFonts w:hint="eastAsia" w:ascii="Times New Roman" w:hAnsi="Times New Roman" w:cs="Times New Roman"/>
          <w:color w:val="000000"/>
        </w:rPr>
        <w:t>；与SPD连接导体的长度。</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第4部分：建筑物内电子和电气系统》第C.2.1条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SPD合适电压保护水平的选择取决于：受保护设备的额定冲击耐受电压U</w:t>
      </w:r>
      <w:r>
        <w:rPr>
          <w:rFonts w:hint="eastAsia" w:ascii="Times New Roman" w:hAnsi="Times New Roman" w:cs="Times New Roman"/>
          <w:color w:val="000000"/>
          <w:vertAlign w:val="subscript"/>
        </w:rPr>
        <w:t>w</w:t>
      </w:r>
      <w:r>
        <w:rPr>
          <w:rFonts w:hint="eastAsia" w:ascii="Times New Roman" w:hAnsi="Times New Roman" w:cs="Times New Roman"/>
          <w:color w:val="000000"/>
        </w:rPr>
        <w:t>；</w:t>
      </w:r>
      <w:r>
        <w:rPr>
          <w:rFonts w:hint="eastAsia" w:ascii="Times New Roman" w:hAnsi="Times New Roman" w:cs="Times New Roman"/>
          <w:color w:val="000000"/>
          <w:u w:val="single"/>
        </w:rPr>
        <w:t>与SPD连接导体的长度</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第4部分：建筑物内电子和电气系统》第C.2.1条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能量的协调配合应当用以下方法验证：</w:t>
      </w:r>
      <w:r>
        <w:rPr>
          <w:rFonts w:hint="eastAsia" w:ascii="Times New Roman" w:hAnsi="Times New Roman" w:cs="Times New Roman"/>
          <w:color w:val="000000"/>
          <w:u w:val="single"/>
        </w:rPr>
        <w:t>协调配合试验法</w:t>
      </w:r>
      <w:r>
        <w:rPr>
          <w:rFonts w:hint="eastAsia" w:ascii="Times New Roman" w:hAnsi="Times New Roman" w:cs="Times New Roman"/>
          <w:color w:val="000000"/>
        </w:rPr>
        <w:t>；</w:t>
      </w:r>
      <w:r>
        <w:rPr>
          <w:rFonts w:hint="eastAsia" w:ascii="Times New Roman" w:hAnsi="Times New Roman" w:cs="Times New Roman"/>
          <w:color w:val="000000"/>
          <w:u w:val="single"/>
        </w:rPr>
        <w:t>计算法</w:t>
      </w:r>
      <w:r>
        <w:rPr>
          <w:rFonts w:hint="eastAsia" w:ascii="Times New Roman" w:hAnsi="Times New Roman" w:cs="Times New Roman"/>
          <w:color w:val="000000"/>
        </w:rPr>
        <w:t>；</w:t>
      </w:r>
      <w:r>
        <w:rPr>
          <w:rFonts w:hint="eastAsia" w:ascii="Times New Roman" w:hAnsi="Times New Roman" w:cs="Times New Roman"/>
          <w:color w:val="000000"/>
          <w:u w:val="single"/>
        </w:rPr>
        <w:t>使用已配合好的系列SPD产品</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第4部分：建筑物内电子和电气系统》第C.4条</w:t>
      </w:r>
    </w:p>
    <w:p>
      <w:pPr>
        <w:pStyle w:val="5"/>
        <w:numPr>
          <w:ilvl w:val="0"/>
          <w:numId w:val="4"/>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有效的协调配合的SPD保护不但要选择适当的SPD，主要还取决于</w:t>
      </w:r>
      <w:r>
        <w:rPr>
          <w:rFonts w:hint="eastAsia" w:ascii="Times New Roman" w:hAnsi="Times New Roman" w:cs="Times New Roman"/>
          <w:color w:val="000000"/>
          <w:u w:val="single"/>
        </w:rPr>
        <w:t>适当的安装</w:t>
      </w:r>
      <w:r>
        <w:rPr>
          <w:rFonts w:hint="eastAsia" w:ascii="Times New Roman" w:hAnsi="Times New Roman" w:cs="Times New Roman"/>
          <w:color w:val="000000"/>
        </w:rPr>
        <w:t>。安装时主要应考虑以下几点：</w:t>
      </w:r>
      <w:r>
        <w:rPr>
          <w:rFonts w:hint="eastAsia" w:ascii="Times New Roman" w:hAnsi="Times New Roman" w:cs="Times New Roman"/>
          <w:color w:val="000000"/>
          <w:u w:val="single"/>
        </w:rPr>
        <w:t>SPD的安装位置</w:t>
      </w:r>
      <w:r>
        <w:rPr>
          <w:rFonts w:hint="eastAsia" w:ascii="Times New Roman" w:hAnsi="Times New Roman" w:cs="Times New Roman"/>
          <w:color w:val="000000"/>
        </w:rPr>
        <w:t>；</w:t>
      </w:r>
      <w:r>
        <w:rPr>
          <w:rFonts w:hint="eastAsia" w:ascii="Times New Roman" w:hAnsi="Times New Roman" w:cs="Times New Roman"/>
          <w:color w:val="000000"/>
          <w:u w:val="single"/>
        </w:rPr>
        <w:t>连接导线</w:t>
      </w:r>
      <w:r>
        <w:rPr>
          <w:rFonts w:hint="eastAsia" w:ascii="Times New Roman" w:hAnsi="Times New Roman" w:cs="Times New Roman"/>
          <w:color w:val="000000"/>
        </w:rPr>
        <w:t>；</w:t>
      </w:r>
      <w:r>
        <w:rPr>
          <w:rFonts w:hint="eastAsia" w:ascii="Times New Roman" w:hAnsi="Times New Roman" w:cs="Times New Roman"/>
          <w:color w:val="000000"/>
          <w:u w:val="single"/>
        </w:rPr>
        <w:t>保护距离（振荡现象）</w:t>
      </w:r>
      <w:r>
        <w:rPr>
          <w:rFonts w:hint="eastAsia" w:ascii="Times New Roman" w:hAnsi="Times New Roman" w:cs="Times New Roman"/>
          <w:color w:val="000000"/>
        </w:rPr>
        <w:t>；</w:t>
      </w:r>
      <w:r>
        <w:rPr>
          <w:rFonts w:hint="eastAsia" w:ascii="Times New Roman" w:hAnsi="Times New Roman" w:cs="Times New Roman"/>
          <w:color w:val="000000"/>
          <w:u w:val="single"/>
        </w:rPr>
        <w:t>保护距离（感应现象）</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21714.4-20105《雷电防护 第4部分：建筑物内电子和电气系统》第D.2条</w:t>
      </w:r>
    </w:p>
    <w:p>
      <w:pPr>
        <w:numPr>
          <w:numId w:val="0"/>
        </w:numPr>
        <w:rPr>
          <w:rFonts w:hint="default" w:ascii="黑体" w:hAnsi="黑体" w:eastAsia="黑体" w:cs="黑体"/>
          <w:sz w:val="28"/>
          <w:szCs w:val="36"/>
          <w:lang w:val="en-US" w:eastAsia="zh-CN"/>
        </w:rPr>
      </w:pPr>
    </w:p>
    <w:p>
      <w:pPr>
        <w:numPr>
          <w:numId w:val="0"/>
        </w:numPr>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 xml:space="preserve">   三、单项选择</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黑体" w:hAnsi="黑体" w:eastAsia="黑体" w:cs="黑体"/>
          <w:sz w:val="28"/>
          <w:szCs w:val="36"/>
          <w:lang w:val="en-US" w:eastAsia="zh-CN"/>
        </w:rPr>
        <w:t xml:space="preserve">  </w:t>
      </w:r>
      <w:r>
        <w:rPr>
          <w:rFonts w:hint="eastAsia" w:ascii="Times New Roman" w:hAnsi="Times New Roman" w:cs="Times New Roman"/>
          <w:color w:val="000000"/>
        </w:rPr>
        <w:t>落地雷闪是云地间的大气放电现象, 由</w:t>
      </w:r>
      <w:r>
        <w:rPr>
          <w:rFonts w:ascii="Times New Roman" w:hAnsi="Times New Roman" w:cs="Times New Roman"/>
          <w:color w:val="000000"/>
        </w:rPr>
        <w:t>（    ）</w:t>
      </w:r>
      <w:r>
        <w:rPr>
          <w:rFonts w:hint="eastAsia" w:ascii="Times New Roman" w:hAnsi="Times New Roman" w:cs="Times New Roman"/>
          <w:color w:val="000000"/>
        </w:rPr>
        <w:t>或多个雷击组成。</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eastAsia="方正楷体_GBK" w:cs="Times New Roman"/>
          <w:color w:val="000000"/>
        </w:rPr>
        <w:t xml:space="preserve"> </w:t>
      </w: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一个</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二个</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三个</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四个</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eastAsia="黑体" w:cs="Times New Roman"/>
          <w:color w:val="000000"/>
        </w:rPr>
        <w:t xml:space="preserve"> </w:t>
      </w: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下行雷是始于云到地一个</w:t>
      </w:r>
      <w:r>
        <w:rPr>
          <w:rFonts w:ascii="Times New Roman" w:hAnsi="Times New Roman" w:cs="Times New Roman"/>
          <w:color w:val="000000"/>
        </w:rPr>
        <w:t>（    ）</w:t>
      </w:r>
      <w:r>
        <w:rPr>
          <w:rFonts w:hint="eastAsia" w:ascii="Times New Roman" w:hAnsi="Times New Roman" w:cs="Times New Roman"/>
          <w:color w:val="000000"/>
        </w:rPr>
        <w:t>先导的雷闪。</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eastAsia="方正楷体_GBK" w:cs="Times New Roman"/>
          <w:color w:val="000000"/>
        </w:rPr>
        <w:t xml:space="preserve">  </w:t>
      </w: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向上</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向下</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上下</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随机</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eastAsia="黑体" w:cs="Times New Roman"/>
          <w:color w:val="000000"/>
        </w:rPr>
        <w:t xml:space="preserve">  </w:t>
      </w: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上行雷是始于地面建筑物到云端一个（    ）先导的雷闪。</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eastAsia="方正楷体_GBK" w:cs="Times New Roman"/>
          <w:color w:val="000000"/>
        </w:rPr>
        <w:t xml:space="preserve">  </w:t>
      </w: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向上</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向下</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上下</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随机</w:t>
      </w:r>
    </w:p>
    <w:p>
      <w:pPr>
        <w:pStyle w:val="5"/>
        <w:spacing w:before="0" w:beforeAutospacing="0" w:after="0" w:afterAutospacing="0" w:line="400" w:lineRule="exact"/>
        <w:ind w:firstLine="241" w:firstLineChars="100"/>
        <w:rPr>
          <w:rFonts w:ascii="Times New Roman" w:hAnsi="Times New Roman" w:cs="Times New Roman"/>
          <w:b/>
          <w:color w:val="000000"/>
        </w:rPr>
      </w:pPr>
      <w:r>
        <w:rPr>
          <w:rFonts w:hint="eastAsia" w:ascii="Times New Roman" w:hAnsi="Times New Roman" w:cs="Times New Roman"/>
          <w:b/>
          <w:color w:val="000000"/>
        </w:rPr>
        <w:t xml:space="preserve">  </w:t>
      </w:r>
      <w:r>
        <w:rPr>
          <w:rFonts w:ascii="Times New Roman" w:hAnsi="Times New Roman" w:cs="Times New Roman"/>
          <w:b/>
          <w:color w:val="000000"/>
        </w:rPr>
        <w:t>答案</w:t>
      </w:r>
      <w:r>
        <w:rPr>
          <w:rFonts w:hint="eastAsia" w:ascii="Times New Roman" w:hAnsi="Times New Roman" w:cs="Times New Roman"/>
          <w:b/>
          <w:color w:val="000000"/>
        </w:rPr>
        <w:t>：A</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雷击是落地雷闪中的（    ）放电。</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单次</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二次</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多次</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后续</w:t>
      </w:r>
    </w:p>
    <w:p>
      <w:pPr>
        <w:pStyle w:val="5"/>
        <w:spacing w:before="0" w:beforeAutospacing="0" w:after="0" w:afterAutospacing="0" w:line="400" w:lineRule="exact"/>
        <w:ind w:firstLine="482" w:firstLineChars="200"/>
        <w:rPr>
          <w:rFonts w:ascii="Times New Roman" w:hAnsi="Times New Roman" w:cs="Times New Roman"/>
          <w:color w:val="000000"/>
        </w:rPr>
      </w:pPr>
      <w:r>
        <w:rPr>
          <w:rFonts w:ascii="Times New Roman" w:hAnsi="Times New Roman" w:cs="Times New Roman"/>
          <w:b/>
          <w:color w:val="000000"/>
        </w:rPr>
        <w:t>答案</w:t>
      </w:r>
      <w:r>
        <w:rPr>
          <w:rFonts w:hint="eastAsia" w:ascii="Times New Roman" w:hAnsi="Times New Roman" w:cs="Times New Roman"/>
          <w:b/>
          <w:color w:val="000000"/>
        </w:rPr>
        <w:t>：A</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）是雷闪的组成部分，它对应于一个冲击电流。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多次雷击</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长雷击</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短雷击</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单次雷击</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答案：C</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）是雷闪的组成部分，它对应于一个连续电流。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多次雷击</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长雷击</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短雷击</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单次雷击</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答案：B</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第1部分：总则》第3.6条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多重雷击是平均由(    )个雷击组成的雷闪，两个雷击的时间间隔通常约为50ms。</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1-2</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3-4</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5-6</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7-8</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第1部分：总则》第3.7条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雷击点是雷电击中（    ）的点。</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任意物体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动物</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水体 </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大地或高耸物体（如建筑物、LPS、服务设施、树等）</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答案：D</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第1部分：总则》第3.8条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雷电流是流经（    ）的电流。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建筑物      </w:t>
      </w:r>
      <w:r>
        <w:rPr>
          <w:rFonts w:ascii="Times New Roman" w:hAnsi="Times New Roman" w:eastAsia="方正楷体_GBK" w:cs="Times New Roman"/>
          <w:color w:val="000000"/>
        </w:rPr>
        <w:t>B</w:t>
      </w:r>
      <w:r>
        <w:rPr>
          <w:rFonts w:ascii="Times New Roman" w:hAnsi="Times New Roman" w:cs="Times New Roman"/>
          <w:color w:val="000000"/>
        </w:rPr>
        <w:t xml:space="preserve">. </w:t>
      </w:r>
      <w:r>
        <w:rPr>
          <w:rFonts w:hint="eastAsia" w:ascii="Times New Roman" w:hAnsi="Times New Roman" w:cs="Times New Roman"/>
          <w:color w:val="000000"/>
        </w:rPr>
        <w:t>金属构件</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雷击点 </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接闪器</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第1部分：总则》第3.9条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峰值是雷电流的（    ）。</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.平均值</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 最小值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中间值</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最大值</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第1部分：总则》第3.10条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短雷击电流波头的平均陡度是数值上等于在时间间隔t2-t1内雷电流的（    ）。</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积分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总和</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大小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平均变化率</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第1部分：总则》第3.11条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短雷击电流的波头时间是一个虚拟参数，定义为雷电流波头达到10%峰值到90%峰值时间间隔的(    )倍。</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1.25      </w:t>
      </w:r>
      <w:r>
        <w:rPr>
          <w:rFonts w:ascii="Times New Roman" w:hAnsi="Times New Roman" w:eastAsia="方正楷体_GBK" w:cs="Times New Roman"/>
          <w:color w:val="000000"/>
        </w:rPr>
        <w:t>B</w:t>
      </w:r>
      <w:r>
        <w:rPr>
          <w:rFonts w:ascii="Times New Roman" w:hAnsi="Times New Roman" w:cs="Times New Roman"/>
          <w:color w:val="000000"/>
        </w:rPr>
        <w:t xml:space="preserve">. </w:t>
      </w:r>
      <w:r>
        <w:rPr>
          <w:rFonts w:hint="eastAsia" w:ascii="Times New Roman" w:hAnsi="Times New Roman" w:cs="Times New Roman"/>
          <w:color w:val="000000"/>
        </w:rPr>
        <w:t>1.5</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1</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2</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第1部分：总则》第3.12条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短雷击电流的视在原点是连接雷电流波头10%和90%峰值两参考点的直线与时间轴的交点。它位于雷电流达到(    )峰值时刻之前0.1T</w:t>
      </w:r>
      <w:r>
        <w:rPr>
          <w:rFonts w:hint="eastAsia" w:ascii="Times New Roman" w:hAnsi="Times New Roman" w:cs="Times New Roman"/>
          <w:color w:val="000000"/>
          <w:vertAlign w:val="subscript"/>
        </w:rPr>
        <w:t>1</w:t>
      </w:r>
      <w:r>
        <w:rPr>
          <w:rFonts w:hint="eastAsia" w:ascii="Times New Roman" w:hAnsi="Times New Roman" w:cs="Times New Roman"/>
          <w:color w:val="000000"/>
        </w:rPr>
        <w:t>处。</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5%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10%</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15%</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20%</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w:t>
      </w:r>
      <w:r>
        <w:rPr>
          <w:rFonts w:ascii="Times New Roman" w:hAnsi="Times New Roman" w:eastAsia="方正楷体_GBK" w:cs="Times New Roman"/>
          <w:color w:val="000000"/>
        </w:rPr>
        <w:t>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第1部分：总则》第3.13条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短雷击电流的半值时间是一个虚拟参数，定义为视在原点O</w:t>
      </w:r>
      <w:r>
        <w:rPr>
          <w:rFonts w:hint="eastAsia" w:ascii="Times New Roman" w:hAnsi="Times New Roman" w:cs="Times New Roman"/>
          <w:color w:val="000000"/>
          <w:vertAlign w:val="subscript"/>
        </w:rPr>
        <w:t>1</w:t>
      </w:r>
      <w:r>
        <w:rPr>
          <w:rFonts w:hint="eastAsia" w:ascii="Times New Roman" w:hAnsi="Times New Roman" w:cs="Times New Roman"/>
          <w:color w:val="000000"/>
        </w:rPr>
        <w:t>到雷电流下降至峰值（    ）时的时间间隔。</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一半以下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一半左右</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一半</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1/3</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第1部分：总则》第3.14条</w:t>
      </w:r>
    </w:p>
    <w:p>
      <w:pPr>
        <w:pStyle w:val="5"/>
        <w:numPr>
          <w:ilvl w:val="0"/>
          <w:numId w:val="5"/>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雷闪（    ）是雷电流流过雷击点的时间。</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击中时间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持续时间</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ascii="Times New Roman" w:hAnsi="Times New Roman" w:cs="Times New Roman"/>
          <w:color w:val="000000"/>
        </w:rPr>
        <w:tab/>
      </w:r>
      <w:r>
        <w:rPr>
          <w:rFonts w:hint="eastAsia" w:ascii="Times New Roman" w:hAnsi="Times New Roman" w:cs="Times New Roman"/>
          <w:color w:val="000000"/>
        </w:rPr>
        <w:t xml:space="preserve">发生时间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消失时间</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长雷击电流的持续时间是长雷击电流的持续时间是连续电流在上升沿升到峰值的（     ）%时至下降沿连续电流降到峰值（    ）%时的时间间隔。</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5,10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50,50</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ascii="Times New Roman" w:hAnsi="Times New Roman" w:cs="Times New Roman"/>
          <w:color w:val="000000"/>
        </w:rPr>
        <w:tab/>
      </w:r>
      <w:r>
        <w:rPr>
          <w:rFonts w:hint="eastAsia" w:ascii="Times New Roman" w:hAnsi="Times New Roman" w:cs="Times New Roman"/>
          <w:color w:val="000000"/>
        </w:rPr>
        <w:t xml:space="preserve">5,5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10，10</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雷闪电荷是整个雷闪持续期间雷电流对（   ）的积分。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时间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空间</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ascii="Times New Roman" w:hAnsi="Times New Roman" w:cs="Times New Roman"/>
          <w:color w:val="000000"/>
        </w:rPr>
        <w:tab/>
      </w:r>
      <w:r>
        <w:rPr>
          <w:rFonts w:hint="eastAsia" w:ascii="Times New Roman" w:hAnsi="Times New Roman" w:cs="Times New Roman"/>
          <w:color w:val="000000"/>
        </w:rPr>
        <w:t xml:space="preserve">电荷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电压</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短雷击电荷是（    ）短雷击中雷电流对时间的积分。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一次     </w:t>
      </w:r>
      <w:r>
        <w:rPr>
          <w:rFonts w:ascii="Times New Roman" w:hAnsi="Times New Roman" w:eastAsia="方正楷体_GBK" w:cs="Times New Roman"/>
          <w:color w:val="000000"/>
        </w:rPr>
        <w:t>B</w:t>
      </w:r>
      <w:r>
        <w:rPr>
          <w:rFonts w:ascii="Times New Roman" w:hAnsi="Times New Roman" w:cs="Times New Roman"/>
          <w:color w:val="000000"/>
        </w:rPr>
        <w:t>.二次</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.三次</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多次</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长时雷击的电荷是（    ）长雷击中雷电流对时间的积分。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一次     </w:t>
      </w:r>
      <w:r>
        <w:rPr>
          <w:rFonts w:ascii="Times New Roman" w:hAnsi="Times New Roman" w:eastAsia="方正楷体_GBK" w:cs="Times New Roman"/>
          <w:color w:val="000000"/>
        </w:rPr>
        <w:t>B</w:t>
      </w:r>
      <w:r>
        <w:rPr>
          <w:rFonts w:ascii="Times New Roman" w:hAnsi="Times New Roman" w:cs="Times New Roman"/>
          <w:color w:val="000000"/>
        </w:rPr>
        <w:t>.二次</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.三次</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多次</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第1部分：总则》第3.19条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单位能量是雷电流的（    ）在整个雷闪持续期内对时间的积分。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一次方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平方</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立方</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.多次方</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短雷击电流的单位能量是雷电流的平方在短雷击（    ）内的时间积分。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持续期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初期</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末期</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.固定周期</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被保护的建筑物是按照（    ），为防御雷电影响而需要保护的建筑物。</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上级要求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管理方要求</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内部制度</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雷电防护标准</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线路是连接到（    ）的电源线或者通信线。</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重要设备   </w:t>
      </w:r>
      <w:r>
        <w:rPr>
          <w:rFonts w:ascii="Times New Roman" w:hAnsi="Times New Roman" w:eastAsia="方正楷体_GBK" w:cs="Times New Roman"/>
          <w:color w:val="000000"/>
        </w:rPr>
        <w:t>B</w:t>
      </w:r>
      <w:r>
        <w:rPr>
          <w:rFonts w:ascii="Times New Roman" w:hAnsi="Times New Roman" w:cs="Times New Roman"/>
          <w:color w:val="000000"/>
        </w:rPr>
        <w:t>.</w:t>
      </w:r>
      <w:r>
        <w:rPr>
          <w:rFonts w:ascii="Times New Roman" w:hAnsi="Times New Roman" w:cs="Times New Roman"/>
          <w:color w:val="000000"/>
        </w:rPr>
        <w:tab/>
      </w:r>
      <w:r>
        <w:rPr>
          <w:rFonts w:hint="eastAsia" w:ascii="Times New Roman" w:hAnsi="Times New Roman" w:cs="Times New Roman"/>
          <w:color w:val="000000"/>
        </w:rPr>
        <w:t xml:space="preserve">配电箱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被保护建筑物</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计算机机房 </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通信线是多个独立建筑物中（    ）之间的通信线，例如电话线和数据线。</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计算机机房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电脑设备</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程控交换机</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设备</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电源线是输送（    ）到建筑物使其内部电气和电子设备运行的配电线路，例如低压（LV）或高压（LV）电源干线。</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电能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数据       </w:t>
      </w:r>
      <w:r>
        <w:rPr>
          <w:rFonts w:ascii="Times New Roman" w:hAnsi="Times New Roman" w:eastAsia="方正楷体_GBK" w:cs="Times New Roman"/>
          <w:color w:val="000000"/>
        </w:rPr>
        <w:t>C</w:t>
      </w:r>
      <w:r>
        <w:rPr>
          <w:rFonts w:ascii="Times New Roman" w:hAnsi="Times New Roman" w:cs="Times New Roman"/>
          <w:color w:val="000000"/>
        </w:rPr>
        <w:t>.信息</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.电压</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击中建筑物的雷闪是击中（    ）的雷闪。</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普通建筑物   </w:t>
      </w:r>
      <w:r>
        <w:rPr>
          <w:rFonts w:ascii="Times New Roman" w:hAnsi="Times New Roman" w:eastAsia="方正楷体_GBK" w:cs="Times New Roman"/>
          <w:color w:val="000000"/>
        </w:rPr>
        <w:t>B</w:t>
      </w:r>
      <w:r>
        <w:rPr>
          <w:rFonts w:ascii="Times New Roman" w:hAnsi="Times New Roman" w:cs="Times New Roman"/>
          <w:color w:val="000000"/>
        </w:rPr>
        <w:t>.</w:t>
      </w:r>
      <w:r>
        <w:rPr>
          <w:rFonts w:ascii="Times New Roman" w:hAnsi="Times New Roman" w:cs="Times New Roman"/>
          <w:color w:val="000000"/>
        </w:rPr>
        <w:tab/>
      </w:r>
      <w:r>
        <w:rPr>
          <w:rFonts w:hint="eastAsia" w:ascii="Times New Roman" w:hAnsi="Times New Roman" w:cs="Times New Roman"/>
          <w:color w:val="000000"/>
        </w:rPr>
        <w:t xml:space="preserve"> 被保护建筑物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固定</w:t>
      </w:r>
      <w:r>
        <w:rPr>
          <w:rFonts w:ascii="Times New Roman" w:hAnsi="Times New Roman" w:cs="Times New Roman"/>
          <w:color w:val="000000"/>
        </w:rPr>
        <w:t>建筑物</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建筑物防雷设施</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击中建筑物附近的雷闪是击中被保护建筑物附近(    )的雷闪。</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及建筑物主体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设施</w:t>
      </w:r>
      <w:r>
        <w:rPr>
          <w:rFonts w:ascii="Times New Roman" w:hAnsi="Times New Roman" w:cs="Times New Roman"/>
          <w:color w:val="000000"/>
        </w:rPr>
        <w:t>设备</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100米范围内</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且可能对被保护建筑物产生危险过电压</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第1部分：总则》第3.27条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物理损害是由于雷电的（   ）效应对建筑物（或其内物体）所造成的损害。</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物理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非化学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机械、热、化学或爆炸等</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破坏</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人和动物的伤害是雷电引起的接触电压和（    ）对人和动物的伤害, 包括死亡。</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非接触电压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爆炸    </w:t>
      </w:r>
      <w:r>
        <w:rPr>
          <w:rFonts w:ascii="Times New Roman" w:hAnsi="Times New Roman" w:eastAsia="方正楷体_GBK" w:cs="Times New Roman"/>
          <w:color w:val="000000"/>
        </w:rPr>
        <w:t>C</w:t>
      </w:r>
      <w:r>
        <w:rPr>
          <w:rFonts w:ascii="Times New Roman" w:hAnsi="Times New Roman" w:cs="Times New Roman"/>
          <w:color w:val="000000"/>
        </w:rPr>
        <w:t>.灼伤</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跨步电压</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电气和电子系统的失效是由于雷电电磁脉冲（LEMP）导致电气和电子系统的（    ）损害。</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暂时性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永久性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重大</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一切</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雷电电磁脉冲是雷电流经电阻、电感和电容耦合形成的（    ），它产生浪涌和辐射电磁场。</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电磁效应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物理现象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化学现象</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以上都对</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风险是雷电造成的年均可能损失（人员和货物）与受保护对象的（    ）（人员和货物）之比。</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总价值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实际价值     </w:t>
      </w:r>
      <w:r>
        <w:rPr>
          <w:rFonts w:ascii="Times New Roman" w:hAnsi="Times New Roman" w:eastAsia="方正楷体_GBK" w:cs="Times New Roman"/>
          <w:color w:val="000000"/>
        </w:rPr>
        <w:t>C</w:t>
      </w:r>
      <w:r>
        <w:rPr>
          <w:rFonts w:ascii="Times New Roman" w:hAnsi="Times New Roman" w:cs="Times New Roman"/>
          <w:color w:val="000000"/>
        </w:rPr>
        <w:t>.平均价值</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最低价值</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风险容限是受保护对象所能容许的（    ）风险值。</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最小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    </w:t>
      </w:r>
      <w:r>
        <w:rPr>
          <w:rFonts w:ascii="Times New Roman" w:hAnsi="Times New Roman" w:eastAsia="方正楷体_GBK" w:cs="Times New Roman"/>
          <w:color w:val="000000"/>
        </w:rPr>
        <w:t>C</w:t>
      </w:r>
      <w:r>
        <w:rPr>
          <w:rFonts w:ascii="Times New Roman" w:hAnsi="Times New Roman" w:cs="Times New Roman"/>
          <w:color w:val="000000"/>
        </w:rPr>
        <w:t>.平均</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基本</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雷电防护水平是与一组雷电流（    ）有关的序数，该组参数值与在自然界发生雷电时最大和最小设计值不被超出的概率有关。</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最大值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频率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强度</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参数值</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防雷措施是为（    ）受保护对象雷电损害风险而采取的措施。</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提醒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杜绝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减小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提高</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第1部分：总则》第3.39条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防雷系统是用来减小雷击建筑物造成物理损害的（    ）系统。</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整个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信息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特殊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高科技</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雷电防护是用于被保护建筑物防御雷电的整个系统，包括建筑物内部系统和物体、人员，一般由(    )和SPM组成。</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LPS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PLS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SPL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SLP</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接闪器是外部LPS组成部分，用(    )，如避雷针、避雷网或避雷线构成，用于接闪。</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专用材料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金属部件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导电设备   </w:t>
      </w:r>
      <w:r>
        <w:rPr>
          <w:rFonts w:ascii="Times New Roman" w:hAnsi="Times New Roman" w:eastAsia="方正楷体_GBK" w:cs="Times New Roman"/>
          <w:color w:val="000000"/>
        </w:rPr>
        <w:t>D</w:t>
      </w:r>
      <w:r>
        <w:rPr>
          <w:rFonts w:ascii="Times New Roman" w:hAnsi="Times New Roman" w:cs="Times New Roman"/>
          <w:color w:val="000000"/>
        </w:rPr>
        <w:t>.铁或铜</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    ）是外部LPS组成部分，用来把雷电流从接闪器系统引至接地体。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接地体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引下线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外部导部件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屏蔽体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    )是外部LPS的组成部分，用于把雷电流引导并散入大地。</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接地体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引下线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外部导部件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屏蔽体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    ）是进出受保护建筑物的金属延伸部件，如管道、电缆金属部件、金属线槽等，它们可以流过部分雷电流。</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接地体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引下线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外部导电部件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屏蔽体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答案：C</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雷电等电位连接是为减少雷电流引起的电位差，直接用（    ）或通过浪涌保护器把分离的金属部件连接到LPS上的一种防雷措施。</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绝缘体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导体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保险丝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特殊材料</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第1部分：总则》第3.49条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磁屏蔽是用于减少电气和电子系统的失效， 包围受保护对象或其一部分的格栅或（    ）的闭合金属屏蔽体。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连续型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圆形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正方形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全部</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协调</w:t>
      </w:r>
      <w:r>
        <w:rPr>
          <w:rFonts w:ascii="Times New Roman" w:hAnsi="Times New Roman" w:cs="Times New Roman"/>
          <w:color w:val="000000"/>
        </w:rPr>
        <w:t>配合的SPD防护系统</w:t>
      </w:r>
      <w:r>
        <w:rPr>
          <w:rFonts w:hint="eastAsia" w:ascii="Times New Roman" w:hAnsi="Times New Roman" w:cs="Times New Roman"/>
          <w:color w:val="000000"/>
        </w:rPr>
        <w:t>是为了减少(    )和电子系统失效而适当选择、能量配合并装配起来的一组SPD。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电磁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电压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电流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电气</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耐冲击电压</w:t>
      </w:r>
      <w:r>
        <w:rPr>
          <w:rFonts w:hint="eastAsia" w:ascii="Times New Roman" w:hAnsi="Times New Roman" w:cs="Times New Roman"/>
          <w:color w:val="000000"/>
        </w:rPr>
        <w:t>额定值是由厂家给设备或其部件指定的冲击耐受电压，用以表征其绝缘对过电压的（    ）耐受能力。</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平均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规定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最大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最小</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协调配合的SPD系统</w:t>
      </w:r>
      <w:r>
        <w:rPr>
          <w:rFonts w:hint="eastAsia" w:ascii="Times New Roman" w:hAnsi="Times New Roman" w:cs="Times New Roman"/>
          <w:color w:val="000000"/>
        </w:rPr>
        <w:t>是为了减少电气和电子系统的失效而（    ）选择、能量配合并装配起来组成系统的SPD。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.专门</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随机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特殊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适当</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w:t>
      </w:r>
      <w:r>
        <w:rPr>
          <w:rFonts w:ascii="Times New Roman" w:hAnsi="Times New Roman" w:cs="Times New Roman"/>
          <w:color w:val="000000"/>
        </w:rPr>
        <w:t xml:space="preserve"> </w:t>
      </w:r>
      <w:r>
        <w:rPr>
          <w:rFonts w:hint="eastAsia" w:ascii="Times New Roman" w:hAnsi="Times New Roman" w:cs="Times New Roman"/>
          <w:color w:val="000000"/>
        </w:rPr>
        <w:t>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耐冲击电压</w:t>
      </w:r>
      <w:r>
        <w:rPr>
          <w:rFonts w:hint="eastAsia" w:ascii="Times New Roman" w:hAnsi="Times New Roman" w:cs="Times New Roman"/>
          <w:color w:val="000000"/>
        </w:rPr>
        <w:t>额定值是由（    ）给设备或其部件指定的冲击耐受电压，用以表征其绝缘对过电压的规定耐受能力。</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用户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厂家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防雷管理机构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气象部门</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答案：B</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隔离界面</w:t>
      </w:r>
      <w:r>
        <w:rPr>
          <w:rFonts w:hint="eastAsia" w:ascii="Times New Roman" w:hAnsi="Times New Roman" w:cs="Times New Roman"/>
          <w:color w:val="000000"/>
        </w:rPr>
        <w:t>是能够减小进入LPZ的线路中传导（    ）的装置。</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浪涌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电流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电压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电荷</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GB/T 21714.1-2015《雷电防护 第1部分：总则》第3.56条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雷电防护系统</w:t>
      </w:r>
      <w:r>
        <w:rPr>
          <w:rFonts w:hint="eastAsia" w:ascii="Times New Roman" w:hAnsi="Times New Roman" w:cs="Times New Roman"/>
          <w:color w:val="000000"/>
        </w:rPr>
        <w:t>是</w:t>
      </w:r>
      <w:r>
        <w:rPr>
          <w:rFonts w:ascii="Times New Roman" w:hAnsi="Times New Roman" w:cs="Times New Roman"/>
          <w:color w:val="000000"/>
        </w:rPr>
        <w:t>用以减少</w:t>
      </w:r>
      <w:r>
        <w:rPr>
          <w:rFonts w:hint="eastAsia" w:ascii="Times New Roman" w:hAnsi="Times New Roman" w:cs="Times New Roman"/>
          <w:color w:val="000000"/>
        </w:rPr>
        <w:t>（    ）</w:t>
      </w:r>
      <w:r>
        <w:rPr>
          <w:rFonts w:ascii="Times New Roman" w:hAnsi="Times New Roman" w:cs="Times New Roman"/>
          <w:color w:val="000000"/>
        </w:rPr>
        <w:t>因雷击</w:t>
      </w:r>
      <w:r>
        <w:rPr>
          <w:rFonts w:hint="eastAsia" w:ascii="Times New Roman" w:hAnsi="Times New Roman" w:cs="Times New Roman"/>
          <w:color w:val="000000"/>
        </w:rPr>
        <w:t>引起</w:t>
      </w:r>
      <w:r>
        <w:rPr>
          <w:rFonts w:ascii="Times New Roman" w:hAnsi="Times New Roman" w:cs="Times New Roman"/>
          <w:color w:val="000000"/>
        </w:rPr>
        <w:t>物理损坏的</w:t>
      </w:r>
      <w:r>
        <w:rPr>
          <w:rFonts w:hint="eastAsia" w:ascii="Times New Roman" w:hAnsi="Times New Roman" w:cs="Times New Roman"/>
          <w:color w:val="000000"/>
        </w:rPr>
        <w:t>整</w:t>
      </w:r>
      <w:r>
        <w:rPr>
          <w:rFonts w:ascii="Times New Roman" w:hAnsi="Times New Roman" w:cs="Times New Roman"/>
          <w:color w:val="000000"/>
        </w:rPr>
        <w:t>套</w:t>
      </w:r>
      <w:r>
        <w:rPr>
          <w:rFonts w:hint="eastAsia" w:ascii="Times New Roman" w:hAnsi="Times New Roman" w:cs="Times New Roman"/>
          <w:color w:val="000000"/>
        </w:rPr>
        <w:t>系统</w:t>
      </w:r>
      <w:r>
        <w:rPr>
          <w:rFonts w:ascii="Times New Roman" w:hAnsi="Times New Roman" w:cs="Times New Roman"/>
          <w:color w:val="000000"/>
        </w:rPr>
        <w:t>。</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国家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单位        </w:t>
      </w:r>
      <w:r>
        <w:rPr>
          <w:rFonts w:ascii="Times New Roman" w:hAnsi="Times New Roman" w:eastAsia="方正楷体_GBK" w:cs="Times New Roman"/>
          <w:color w:val="000000"/>
        </w:rPr>
        <w:t>C</w:t>
      </w:r>
      <w:r>
        <w:rPr>
          <w:rFonts w:ascii="Times New Roman" w:hAnsi="Times New Roman" w:cs="Times New Roman"/>
          <w:color w:val="000000"/>
        </w:rPr>
        <w:t>.企业</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某一建筑物</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答案：D</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外部防雷装置是LPS的一部分，由（    ）、引下线、接地装置组成。</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接闪器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浪涌保护器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避雷针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避雷网</w:t>
      </w:r>
    </w:p>
    <w:p>
      <w:pPr>
        <w:pStyle w:val="5"/>
        <w:spacing w:before="0" w:beforeAutospacing="0" w:after="0" w:afterAutospacing="0" w:line="400" w:lineRule="exact"/>
        <w:ind w:firstLine="360" w:firstLineChars="150"/>
        <w:rPr>
          <w:rFonts w:ascii="Times New Roman" w:hAnsi="Times New Roman" w:cs="Times New Roman"/>
          <w:color w:val="000000"/>
        </w:rPr>
      </w:pPr>
      <w:r>
        <w:rPr>
          <w:rFonts w:hint="eastAsia" w:ascii="Times New Roman" w:hAnsi="Times New Roman" w:cs="Times New Roman"/>
          <w:color w:val="000000"/>
        </w:rPr>
        <w:t>答案：A</w:t>
      </w:r>
    </w:p>
    <w:p>
      <w:pPr>
        <w:pStyle w:val="5"/>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与受保护建筑物分离的外部LPS是由接闪器和</w:t>
      </w:r>
      <w:r>
        <w:rPr>
          <w:rFonts w:ascii="Times New Roman" w:hAnsi="Times New Roman" w:cs="Times New Roman"/>
          <w:color w:val="000000"/>
        </w:rPr>
        <w:t>（    ）</w:t>
      </w:r>
      <w:r>
        <w:rPr>
          <w:rFonts w:hint="eastAsia" w:ascii="Times New Roman" w:hAnsi="Times New Roman" w:cs="Times New Roman"/>
          <w:color w:val="000000"/>
        </w:rPr>
        <w:t>组成的LPS，其安装位置使雷电流通道与受保护建筑物没有任何接触。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与受保护建筑物</w:t>
      </w:r>
      <w:r>
        <w:rPr>
          <w:rFonts w:hint="eastAsia" w:ascii="Times New Roman" w:hAnsi="Times New Roman" w:cs="Times New Roman"/>
          <w:color w:val="000000"/>
        </w:rPr>
        <w:t>非</w:t>
      </w:r>
      <w:r>
        <w:rPr>
          <w:rFonts w:ascii="Times New Roman" w:hAnsi="Times New Roman" w:cs="Times New Roman"/>
          <w:color w:val="000000"/>
        </w:rPr>
        <w:t>分离的外部</w:t>
      </w:r>
      <w:r>
        <w:rPr>
          <w:rFonts w:hint="eastAsia" w:ascii="Times New Roman" w:hAnsi="Times New Roman" w:cs="Times New Roman"/>
          <w:color w:val="000000"/>
        </w:rPr>
        <w:t>LPS：LPS的一部分，由雷电</w:t>
      </w:r>
      <w:r>
        <w:rPr>
          <w:rFonts w:ascii="Times New Roman" w:hAnsi="Times New Roman" w:cs="Times New Roman"/>
          <w:color w:val="000000"/>
        </w:rPr>
        <w:t>（    ）</w:t>
      </w:r>
      <w:r>
        <w:rPr>
          <w:rFonts w:hint="eastAsia" w:ascii="Times New Roman" w:hAnsi="Times New Roman" w:cs="Times New Roman"/>
          <w:color w:val="000000"/>
        </w:rPr>
        <w:t>和外部LPS电气绝缘组成。</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内部防雷装置</w:t>
      </w:r>
      <w:r>
        <w:rPr>
          <w:rFonts w:hint="eastAsia" w:ascii="Times New Roman" w:hAnsi="Times New Roman" w:cs="Times New Roman"/>
          <w:color w:val="000000"/>
        </w:rPr>
        <w:t>是LPS的一部分，由雷电等电位连接和外部LPS</w:t>
      </w:r>
      <w:r>
        <w:rPr>
          <w:rFonts w:ascii="Times New Roman" w:hAnsi="Times New Roman" w:cs="Times New Roman"/>
          <w:color w:val="000000"/>
        </w:rPr>
        <w:t>（    ）</w:t>
      </w:r>
      <w:r>
        <w:rPr>
          <w:rFonts w:hint="eastAsia" w:ascii="Times New Roman" w:hAnsi="Times New Roman" w:cs="Times New Roman"/>
          <w:color w:val="000000"/>
        </w:rPr>
        <w:t>组成。</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电气绝缘</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接闪器</w:t>
      </w:r>
      <w:r>
        <w:rPr>
          <w:rFonts w:hint="eastAsia" w:ascii="Times New Roman" w:hAnsi="Times New Roman" w:cs="Times New Roman"/>
          <w:color w:val="000000"/>
        </w:rPr>
        <w:t>是</w:t>
      </w:r>
      <w:r>
        <w:rPr>
          <w:rFonts w:ascii="Times New Roman" w:hAnsi="Times New Roman" w:cs="Times New Roman"/>
          <w:color w:val="000000"/>
        </w:rPr>
        <w:t>外部</w:t>
      </w:r>
      <w:r>
        <w:rPr>
          <w:rFonts w:hint="eastAsia" w:ascii="Times New Roman" w:hAnsi="Times New Roman" w:cs="Times New Roman"/>
          <w:color w:val="000000"/>
        </w:rPr>
        <w:t>LPS</w:t>
      </w:r>
      <w:r>
        <w:rPr>
          <w:rFonts w:ascii="Times New Roman" w:hAnsi="Times New Roman" w:cs="Times New Roman"/>
          <w:color w:val="000000"/>
        </w:rPr>
        <w:t>的一部分，</w:t>
      </w:r>
      <w:r>
        <w:rPr>
          <w:rFonts w:hint="eastAsia" w:ascii="Times New Roman" w:hAnsi="Times New Roman" w:cs="Times New Roman"/>
          <w:color w:val="000000"/>
        </w:rPr>
        <w:t>用于</w:t>
      </w:r>
      <w:r>
        <w:rPr>
          <w:rFonts w:ascii="Times New Roman" w:hAnsi="Times New Roman" w:cs="Times New Roman"/>
          <w:color w:val="000000"/>
        </w:rPr>
        <w:t>截</w:t>
      </w:r>
      <w:r>
        <w:rPr>
          <w:rFonts w:hint="eastAsia" w:ascii="Times New Roman" w:hAnsi="Times New Roman" w:cs="Times New Roman"/>
          <w:color w:val="000000"/>
        </w:rPr>
        <w:t>收雷击的金属构件，如杆状接闪器、网格导线或</w:t>
      </w:r>
      <w:r>
        <w:rPr>
          <w:rFonts w:ascii="Times New Roman" w:hAnsi="Times New Roman" w:cs="Times New Roman"/>
          <w:color w:val="000000"/>
        </w:rPr>
        <w:t>（    ）</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悬链线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引下线</w:t>
      </w:r>
      <w:r>
        <w:rPr>
          <w:rFonts w:hint="eastAsia" w:ascii="Times New Roman" w:hAnsi="Times New Roman" w:cs="Times New Roman"/>
          <w:color w:val="000000"/>
        </w:rPr>
        <w:t>是外部LPS</w:t>
      </w:r>
      <w:r>
        <w:rPr>
          <w:rFonts w:ascii="Times New Roman" w:hAnsi="Times New Roman" w:cs="Times New Roman"/>
          <w:color w:val="000000"/>
        </w:rPr>
        <w:t>的一部分，</w:t>
      </w:r>
      <w:r>
        <w:rPr>
          <w:rFonts w:hint="eastAsia" w:ascii="Times New Roman" w:hAnsi="Times New Roman" w:cs="Times New Roman"/>
          <w:color w:val="000000"/>
        </w:rPr>
        <w:t>将接闪器雷电流传导至</w:t>
      </w:r>
      <w:r>
        <w:rPr>
          <w:rFonts w:ascii="Times New Roman" w:hAnsi="Times New Roman" w:cs="Times New Roman"/>
          <w:color w:val="000000"/>
        </w:rPr>
        <w:t>（    ）</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环形导体</w:t>
      </w:r>
      <w:r>
        <w:rPr>
          <w:rFonts w:hint="eastAsia" w:ascii="Times New Roman" w:hAnsi="Times New Roman" w:cs="Times New Roman"/>
          <w:color w:val="000000"/>
        </w:rPr>
        <w:t>是</w:t>
      </w:r>
      <w:r>
        <w:rPr>
          <w:rFonts w:ascii="Times New Roman" w:hAnsi="Times New Roman" w:cs="Times New Roman"/>
          <w:color w:val="000000"/>
        </w:rPr>
        <w:t>围绕建筑物四周形成一个回路的导体，与（    ）相连，分散雷电流。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接地</w:t>
      </w:r>
      <w:r>
        <w:rPr>
          <w:rFonts w:hint="eastAsia" w:ascii="Times New Roman" w:hAnsi="Times New Roman" w:cs="Times New Roman"/>
          <w:color w:val="000000"/>
        </w:rPr>
        <w:t>装置是</w:t>
      </w:r>
      <w:r>
        <w:rPr>
          <w:rFonts w:ascii="Times New Roman" w:hAnsi="Times New Roman" w:cs="Times New Roman"/>
          <w:color w:val="000000"/>
        </w:rPr>
        <w:t>外部LPS的一部分，将雷电流传导和（    ）入地</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释放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分流</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.分散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接地</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的一部分，通过它与大地直接相连，并将雷电流分散入地。</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.接地极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环形接地极</w:t>
      </w:r>
      <w:r>
        <w:rPr>
          <w:rFonts w:hint="eastAsia" w:ascii="Times New Roman" w:hAnsi="Times New Roman" w:cs="Times New Roman"/>
          <w:color w:val="000000"/>
        </w:rPr>
        <w:t>是在</w:t>
      </w:r>
      <w:r>
        <w:rPr>
          <w:rFonts w:ascii="Times New Roman" w:hAnsi="Times New Roman" w:cs="Times New Roman"/>
          <w:color w:val="000000"/>
        </w:rPr>
        <w:t>建筑物四周</w:t>
      </w:r>
      <w:r>
        <w:rPr>
          <w:rFonts w:hint="eastAsia" w:ascii="Times New Roman" w:hAnsi="Times New Roman" w:cs="Times New Roman"/>
          <w:color w:val="000000"/>
        </w:rPr>
        <w:t>的</w:t>
      </w:r>
      <w:r>
        <w:rPr>
          <w:rFonts w:ascii="Times New Roman" w:hAnsi="Times New Roman" w:cs="Times New Roman"/>
          <w:color w:val="000000"/>
        </w:rPr>
        <w:t>土壤下层或地表形成一个（    ）的接地极。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封闭回路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球形</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椭圆形</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环形</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基础接地极</w:t>
      </w:r>
      <w:r>
        <w:rPr>
          <w:rFonts w:hint="eastAsia" w:ascii="Times New Roman" w:hAnsi="Times New Roman" w:cs="Times New Roman"/>
          <w:color w:val="000000"/>
        </w:rPr>
        <w:t>是</w:t>
      </w:r>
      <w:r>
        <w:rPr>
          <w:rFonts w:ascii="Times New Roman" w:hAnsi="Times New Roman" w:cs="Times New Roman"/>
          <w:color w:val="000000"/>
        </w:rPr>
        <w:t>指地基的（    ）或预埋在建筑物混凝土中用作接地极的其它导体</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.混凝土钢筋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常规接地阻抗是指</w:t>
      </w:r>
      <w:r>
        <w:rPr>
          <w:rFonts w:ascii="Times New Roman" w:hAnsi="Times New Roman" w:cs="Times New Roman"/>
          <w:color w:val="000000"/>
        </w:rPr>
        <w:t>接地</w:t>
      </w:r>
      <w:r>
        <w:rPr>
          <w:rFonts w:hint="eastAsia" w:ascii="Times New Roman" w:hAnsi="Times New Roman" w:cs="Times New Roman"/>
          <w:color w:val="000000"/>
        </w:rPr>
        <w:t>体</w:t>
      </w:r>
      <w:r>
        <w:rPr>
          <w:rFonts w:ascii="Times New Roman" w:hAnsi="Times New Roman" w:cs="Times New Roman"/>
          <w:color w:val="000000"/>
        </w:rPr>
        <w:t>电压峰值与（    ）的比值</w:t>
      </w:r>
      <w:r>
        <w:rPr>
          <w:rFonts w:hint="eastAsia" w:ascii="Times New Roman" w:hAnsi="Times New Roman" w:cs="Times New Roman"/>
          <w:color w:val="000000"/>
        </w:rPr>
        <w:t>。通常两者</w:t>
      </w:r>
      <w:r>
        <w:rPr>
          <w:rFonts w:ascii="Times New Roman" w:hAnsi="Times New Roman" w:cs="Times New Roman"/>
          <w:color w:val="000000"/>
        </w:rPr>
        <w:t>峰值不会同时出现</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冲击电流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雷电流</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.电流峰值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传导电流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电压</w:t>
      </w:r>
      <w:r>
        <w:rPr>
          <w:rFonts w:hint="eastAsia" w:ascii="Times New Roman" w:hAnsi="Times New Roman" w:cs="Times New Roman"/>
          <w:color w:val="000000"/>
        </w:rPr>
        <w:t>是指</w:t>
      </w:r>
      <w:r>
        <w:rPr>
          <w:rFonts w:ascii="Times New Roman" w:hAnsi="Times New Roman" w:cs="Times New Roman"/>
          <w:color w:val="000000"/>
        </w:rPr>
        <w:t>接地装置与远方大地间的（    ）</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电流差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.电位差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位势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积分</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w:t>
      </w:r>
      <w:r>
        <w:rPr>
          <w:rFonts w:hint="eastAsia" w:ascii="Times New Roman" w:hAnsi="Times New Roman" w:cs="Times New Roman"/>
          <w:color w:val="000000"/>
        </w:rPr>
        <w:t>15《雷电防护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LPS的自然构件</w:t>
      </w:r>
      <w:r>
        <w:rPr>
          <w:rFonts w:hint="eastAsia" w:ascii="Times New Roman" w:hAnsi="Times New Roman" w:cs="Times New Roman"/>
          <w:color w:val="000000"/>
        </w:rPr>
        <w:t>是指不是为防雷而专门安装的</w:t>
      </w:r>
      <w:r>
        <w:rPr>
          <w:rFonts w:ascii="Times New Roman" w:hAnsi="Times New Roman" w:cs="Times New Roman"/>
          <w:color w:val="000000"/>
        </w:rPr>
        <w:t>（    ），</w:t>
      </w:r>
      <w:r>
        <w:rPr>
          <w:rFonts w:hint="eastAsia" w:ascii="Times New Roman" w:hAnsi="Times New Roman" w:cs="Times New Roman"/>
          <w:color w:val="000000"/>
        </w:rPr>
        <w:t>可</w:t>
      </w:r>
      <w:r>
        <w:rPr>
          <w:rFonts w:ascii="Times New Roman" w:hAnsi="Times New Roman" w:cs="Times New Roman"/>
          <w:color w:val="000000"/>
        </w:rPr>
        <w:t>用于LPS</w:t>
      </w:r>
      <w:r>
        <w:rPr>
          <w:rFonts w:hint="eastAsia" w:ascii="Times New Roman" w:hAnsi="Times New Roman" w:cs="Times New Roman"/>
          <w:color w:val="000000"/>
        </w:rPr>
        <w:t>，或</w:t>
      </w:r>
      <w:r>
        <w:rPr>
          <w:rFonts w:ascii="Times New Roman" w:hAnsi="Times New Roman" w:cs="Times New Roman"/>
          <w:color w:val="000000"/>
        </w:rPr>
        <w:t>在某些情况下，能具备LPS的一个或几个功能</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导电</w:t>
      </w:r>
      <w:r>
        <w:rPr>
          <w:rFonts w:ascii="Times New Roman" w:hAnsi="Times New Roman" w:cs="Times New Roman"/>
          <w:color w:val="000000"/>
        </w:rPr>
        <w:t xml:space="preserve">部件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连接部件</w:t>
      </w:r>
      <w:r>
        <w:rPr>
          <w:rFonts w:hint="eastAsia" w:ascii="Times New Roman" w:hAnsi="Times New Roman" w:cs="Times New Roman"/>
          <w:color w:val="000000"/>
        </w:rPr>
        <w:t>是指</w:t>
      </w:r>
      <w:r>
        <w:rPr>
          <w:rFonts w:ascii="Times New Roman" w:hAnsi="Times New Roman" w:cs="Times New Roman"/>
          <w:color w:val="000000"/>
        </w:rPr>
        <w:t>外部LPS的一部分，用于（    ）</w:t>
      </w:r>
      <w:r>
        <w:rPr>
          <w:rFonts w:hint="eastAsia" w:ascii="Times New Roman" w:hAnsi="Times New Roman" w:cs="Times New Roman"/>
          <w:color w:val="000000"/>
        </w:rPr>
        <w:t>间连接</w:t>
      </w:r>
      <w:r>
        <w:rPr>
          <w:rFonts w:ascii="Times New Roman" w:hAnsi="Times New Roman" w:cs="Times New Roman"/>
          <w:color w:val="000000"/>
        </w:rPr>
        <w:t>或连接到金属装置</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.导体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固定部件</w:t>
      </w:r>
      <w:r>
        <w:rPr>
          <w:rFonts w:hint="eastAsia" w:ascii="Times New Roman" w:hAnsi="Times New Roman" w:cs="Times New Roman"/>
          <w:color w:val="000000"/>
        </w:rPr>
        <w:t>是指</w:t>
      </w:r>
      <w:r>
        <w:rPr>
          <w:rFonts w:ascii="Times New Roman" w:hAnsi="Times New Roman" w:cs="Times New Roman"/>
          <w:color w:val="000000"/>
        </w:rPr>
        <w:t>外部LPS中的一部分，用于将LPS部件固定到（    ）上</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受保护建筑物</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金属装置</w:t>
      </w:r>
      <w:r>
        <w:rPr>
          <w:rFonts w:hint="eastAsia" w:ascii="Times New Roman" w:hAnsi="Times New Roman" w:cs="Times New Roman"/>
          <w:color w:val="000000"/>
        </w:rPr>
        <w:t>是指</w:t>
      </w:r>
      <w:r>
        <w:rPr>
          <w:rFonts w:ascii="Times New Roman" w:hAnsi="Times New Roman" w:cs="Times New Roman"/>
          <w:color w:val="000000"/>
        </w:rPr>
        <w:t>受保护建筑物</w:t>
      </w:r>
      <w:r>
        <w:rPr>
          <w:rFonts w:hint="eastAsia" w:ascii="Times New Roman" w:hAnsi="Times New Roman" w:cs="Times New Roman"/>
          <w:color w:val="000000"/>
        </w:rPr>
        <w:t>内部可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，可形成雷电流通道。例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管</w:t>
      </w:r>
      <w:r>
        <w:rPr>
          <w:rFonts w:hint="eastAsia" w:ascii="Times New Roman" w:hAnsi="Times New Roman" w:cs="Times New Roman"/>
          <w:color w:val="000000"/>
        </w:rPr>
        <w:t>道</w:t>
      </w:r>
      <w:r>
        <w:rPr>
          <w:rFonts w:ascii="Times New Roman" w:hAnsi="Times New Roman" w:cs="Times New Roman"/>
          <w:color w:val="000000"/>
        </w:rPr>
        <w:t>、楼梯、电梯扶手、升降机导轨、通风装置、加热或空调管道以及（    ）等</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互联钢筋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外部导体构件</w:t>
      </w:r>
      <w:r>
        <w:rPr>
          <w:rFonts w:hint="eastAsia" w:ascii="Times New Roman" w:hAnsi="Times New Roman" w:cs="Times New Roman"/>
          <w:color w:val="000000"/>
        </w:rPr>
        <w:t>是指出入受保护建筑物，</w:t>
      </w:r>
      <w:r>
        <w:rPr>
          <w:rFonts w:ascii="Times New Roman" w:hAnsi="Times New Roman" w:cs="Times New Roman"/>
          <w:color w:val="000000"/>
        </w:rPr>
        <w:t>携带部分雷电流</w:t>
      </w:r>
      <w:r>
        <w:rPr>
          <w:rFonts w:hint="eastAsia" w:ascii="Times New Roman" w:hAnsi="Times New Roman" w:cs="Times New Roman"/>
          <w:color w:val="000000"/>
        </w:rPr>
        <w:t>的可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    ）、</w:t>
      </w:r>
      <w:r>
        <w:rPr>
          <w:rFonts w:hint="eastAsia" w:ascii="Times New Roman" w:hAnsi="Times New Roman" w:cs="Times New Roman"/>
          <w:color w:val="000000"/>
        </w:rPr>
        <w:t>金属</w:t>
      </w:r>
      <w:r>
        <w:rPr>
          <w:rFonts w:ascii="Times New Roman" w:hAnsi="Times New Roman" w:cs="Times New Roman"/>
          <w:color w:val="000000"/>
        </w:rPr>
        <w:t>电缆、金属导管等</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.管道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电气系统</w:t>
      </w:r>
      <w:r>
        <w:rPr>
          <w:rFonts w:hint="eastAsia" w:ascii="Times New Roman" w:hAnsi="Times New Roman" w:cs="Times New Roman"/>
          <w:color w:val="000000"/>
        </w:rPr>
        <w:t>是指装有</w:t>
      </w:r>
      <w:r>
        <w:rPr>
          <w:rFonts w:ascii="Times New Roman" w:hAnsi="Times New Roman" w:cs="Times New Roman"/>
          <w:color w:val="000000"/>
        </w:rPr>
        <w:t>（    ）及</w:t>
      </w:r>
      <w:r>
        <w:rPr>
          <w:rFonts w:hint="eastAsia" w:ascii="Times New Roman" w:hAnsi="Times New Roman" w:cs="Times New Roman"/>
          <w:color w:val="000000"/>
        </w:rPr>
        <w:t>可能的</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件的系统</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低压</w:t>
      </w:r>
      <w:r>
        <w:rPr>
          <w:rFonts w:hint="eastAsia" w:ascii="Times New Roman" w:hAnsi="Times New Roman" w:cs="Times New Roman"/>
          <w:color w:val="000000"/>
        </w:rPr>
        <w:t>供电部</w:t>
      </w:r>
      <w:r>
        <w:rPr>
          <w:rFonts w:ascii="Times New Roman" w:hAnsi="Times New Roman" w:cs="Times New Roman"/>
          <w:color w:val="000000"/>
        </w:rPr>
        <w:t>件</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配电箱</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供电设备</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电子系统</w:t>
      </w:r>
      <w:r>
        <w:rPr>
          <w:rFonts w:hint="eastAsia" w:ascii="Times New Roman" w:hAnsi="Times New Roman" w:cs="Times New Roman"/>
          <w:color w:val="000000"/>
        </w:rPr>
        <w:t>是指装有</w:t>
      </w:r>
      <w:r>
        <w:rPr>
          <w:rFonts w:ascii="Times New Roman" w:hAnsi="Times New Roman" w:cs="Times New Roman"/>
          <w:color w:val="000000"/>
        </w:rPr>
        <w:t>（    ）</w:t>
      </w:r>
      <w:r>
        <w:rPr>
          <w:rFonts w:hint="eastAsia" w:ascii="Times New Roman" w:hAnsi="Times New Roman" w:cs="Times New Roman"/>
          <w:color w:val="000000"/>
        </w:rPr>
        <w:t>的系统</w:t>
      </w:r>
      <w:r>
        <w:rPr>
          <w:rFonts w:ascii="Times New Roman" w:hAnsi="Times New Roman" w:cs="Times New Roman"/>
          <w:color w:val="000000"/>
        </w:rPr>
        <w:t>，</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通信设备、计算机、控制</w:t>
      </w:r>
      <w:r>
        <w:rPr>
          <w:rFonts w:hint="eastAsia" w:ascii="Times New Roman" w:hAnsi="Times New Roman" w:cs="Times New Roman"/>
          <w:color w:val="000000"/>
        </w:rPr>
        <w:t>和</w:t>
      </w:r>
      <w:r>
        <w:rPr>
          <w:rFonts w:ascii="Times New Roman" w:hAnsi="Times New Roman" w:cs="Times New Roman"/>
          <w:color w:val="000000"/>
        </w:rPr>
        <w:t>仪</w:t>
      </w:r>
      <w:r>
        <w:rPr>
          <w:rFonts w:hint="eastAsia" w:ascii="Times New Roman" w:hAnsi="Times New Roman" w:cs="Times New Roman"/>
          <w:color w:val="000000"/>
        </w:rPr>
        <w:t>表</w:t>
      </w:r>
      <w:r>
        <w:rPr>
          <w:rFonts w:ascii="Times New Roman" w:hAnsi="Times New Roman" w:cs="Times New Roman"/>
          <w:color w:val="000000"/>
        </w:rPr>
        <w:t>系统、无线电系统和电</w:t>
      </w:r>
      <w:r>
        <w:rPr>
          <w:rFonts w:hint="eastAsia" w:ascii="Times New Roman" w:hAnsi="Times New Roman" w:cs="Times New Roman"/>
          <w:color w:val="000000"/>
        </w:rPr>
        <w:t>力</w:t>
      </w:r>
      <w:r>
        <w:rPr>
          <w:rFonts w:ascii="Times New Roman" w:hAnsi="Times New Roman" w:cs="Times New Roman"/>
          <w:color w:val="000000"/>
        </w:rPr>
        <w:t>电子</w:t>
      </w:r>
      <w:r>
        <w:rPr>
          <w:rFonts w:hint="eastAsia" w:ascii="Times New Roman" w:hAnsi="Times New Roman" w:cs="Times New Roman"/>
          <w:color w:val="000000"/>
        </w:rPr>
        <w:t>设备等。</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低压供电部件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敏感</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 xml:space="preserve">件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重要设备</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需保护设备</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雷电</w:t>
      </w:r>
      <w:r>
        <w:rPr>
          <w:rFonts w:ascii="Times New Roman" w:hAnsi="Times New Roman" w:cs="Times New Roman"/>
          <w:color w:val="000000"/>
        </w:rPr>
        <w:t>等电位连接</w:t>
      </w:r>
      <w:r>
        <w:rPr>
          <w:rFonts w:hint="eastAsia" w:ascii="Times New Roman" w:hAnsi="Times New Roman" w:cs="Times New Roman"/>
          <w:color w:val="000000"/>
        </w:rPr>
        <w:t>(EB)是指连接至分离导电部件的LPS。直接连接或通过</w:t>
      </w:r>
      <w:r>
        <w:rPr>
          <w:rFonts w:ascii="Times New Roman" w:hAnsi="Times New Roman" w:cs="Times New Roman"/>
          <w:color w:val="000000"/>
        </w:rPr>
        <w:t>（    ）</w:t>
      </w:r>
      <w:r>
        <w:rPr>
          <w:rFonts w:hint="eastAsia" w:ascii="Times New Roman" w:hAnsi="Times New Roman" w:cs="Times New Roman"/>
          <w:color w:val="000000"/>
        </w:rPr>
        <w:t>连接，可</w:t>
      </w:r>
      <w:r>
        <w:rPr>
          <w:rFonts w:ascii="Times New Roman" w:hAnsi="Times New Roman" w:cs="Times New Roman"/>
          <w:color w:val="000000"/>
        </w:rPr>
        <w:t>减小雷电流产生的电位差</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浪涌保护器</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等电位</w:t>
      </w:r>
      <w:r>
        <w:rPr>
          <w:rFonts w:hint="eastAsia" w:ascii="Times New Roman" w:hAnsi="Times New Roman" w:cs="Times New Roman"/>
          <w:color w:val="000000"/>
        </w:rPr>
        <w:t>连接排是指为了</w:t>
      </w:r>
      <w:r>
        <w:rPr>
          <w:rFonts w:ascii="Times New Roman" w:hAnsi="Times New Roman" w:cs="Times New Roman"/>
          <w:color w:val="000000"/>
        </w:rPr>
        <w:t>防雷装置做等电位连接</w:t>
      </w:r>
      <w:r>
        <w:rPr>
          <w:rFonts w:hint="eastAsia" w:ascii="Times New Roman" w:hAnsi="Times New Roman" w:cs="Times New Roman"/>
          <w:color w:val="000000"/>
        </w:rPr>
        <w:t>，需要接地的</w:t>
      </w:r>
      <w:r>
        <w:rPr>
          <w:rFonts w:ascii="Times New Roman" w:hAnsi="Times New Roman" w:cs="Times New Roman"/>
          <w:color w:val="000000"/>
        </w:rPr>
        <w:t>金属装置、（    ）、电力线路、通信线路及其它电缆</w:t>
      </w:r>
      <w:r>
        <w:rPr>
          <w:rFonts w:hint="eastAsia" w:ascii="Times New Roman" w:hAnsi="Times New Roman" w:cs="Times New Roman"/>
          <w:color w:val="000000"/>
        </w:rPr>
        <w:t>可与之</w:t>
      </w:r>
      <w:r>
        <w:rPr>
          <w:rFonts w:ascii="Times New Roman" w:hAnsi="Times New Roman" w:cs="Times New Roman"/>
          <w:color w:val="000000"/>
        </w:rPr>
        <w:t>连</w:t>
      </w:r>
      <w:r>
        <w:rPr>
          <w:rFonts w:hint="eastAsia" w:ascii="Times New Roman" w:hAnsi="Times New Roman" w:cs="Times New Roman"/>
          <w:color w:val="000000"/>
        </w:rPr>
        <w:t>接。</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外部导电部件</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连接导体</w:t>
      </w:r>
      <w:r>
        <w:rPr>
          <w:rFonts w:hint="eastAsia" w:ascii="Times New Roman" w:hAnsi="Times New Roman" w:cs="Times New Roman"/>
          <w:color w:val="000000"/>
        </w:rPr>
        <w:t>是指用于</w:t>
      </w:r>
      <w:r>
        <w:rPr>
          <w:rFonts w:ascii="Times New Roman" w:hAnsi="Times New Roman" w:cs="Times New Roman"/>
          <w:color w:val="000000"/>
        </w:rPr>
        <w:t>将</w:t>
      </w:r>
      <w:r>
        <w:rPr>
          <w:rFonts w:hint="eastAsia" w:ascii="Times New Roman" w:hAnsi="Times New Roman" w:cs="Times New Roman"/>
          <w:color w:val="000000"/>
        </w:rPr>
        <w:t>分离导电部件与</w:t>
      </w:r>
      <w:r>
        <w:rPr>
          <w:rFonts w:ascii="Times New Roman" w:hAnsi="Times New Roman" w:cs="Times New Roman"/>
          <w:color w:val="000000"/>
        </w:rPr>
        <w:t>（    ）</w:t>
      </w:r>
      <w:r>
        <w:rPr>
          <w:rFonts w:hint="eastAsia" w:ascii="Times New Roman" w:hAnsi="Times New Roman" w:cs="Times New Roman"/>
          <w:color w:val="000000"/>
        </w:rPr>
        <w:t>进行连接的导体。</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LPS</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互联钢筋</w:t>
      </w:r>
      <w:r>
        <w:rPr>
          <w:rFonts w:hint="eastAsia" w:ascii="Times New Roman" w:hAnsi="Times New Roman" w:cs="Times New Roman"/>
          <w:color w:val="000000"/>
        </w:rPr>
        <w:t>是指</w:t>
      </w:r>
      <w:r>
        <w:rPr>
          <w:rFonts w:ascii="Times New Roman" w:hAnsi="Times New Roman" w:cs="Times New Roman"/>
          <w:color w:val="000000"/>
        </w:rPr>
        <w:t>混凝土建筑物内的钢结构，在电气上被认为是（    ）</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间隔的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.连续的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连接的</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间断的</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危险火花</w:t>
      </w:r>
      <w:r>
        <w:rPr>
          <w:rFonts w:hint="eastAsia" w:ascii="Times New Roman" w:hAnsi="Times New Roman" w:cs="Times New Roman"/>
          <w:color w:val="000000"/>
        </w:rPr>
        <w:t>是指</w:t>
      </w:r>
      <w:r>
        <w:rPr>
          <w:rFonts w:ascii="Times New Roman" w:hAnsi="Times New Roman" w:cs="Times New Roman"/>
          <w:color w:val="000000"/>
        </w:rPr>
        <w:t>由雷电引起的（    ），</w:t>
      </w:r>
      <w:r>
        <w:rPr>
          <w:rFonts w:hint="eastAsia" w:ascii="Times New Roman" w:hAnsi="Times New Roman" w:cs="Times New Roman"/>
          <w:color w:val="000000"/>
        </w:rPr>
        <w:t>可能会</w:t>
      </w:r>
      <w:r>
        <w:rPr>
          <w:rFonts w:ascii="Times New Roman" w:hAnsi="Times New Roman" w:cs="Times New Roman"/>
          <w:color w:val="000000"/>
        </w:rPr>
        <w:t>对受保护建筑物引起物理损坏。</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放电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击穿</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烧灼</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燃烧</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隔距</w:t>
      </w:r>
      <w:r>
        <w:rPr>
          <w:rFonts w:hint="eastAsia" w:ascii="Times New Roman" w:hAnsi="Times New Roman" w:cs="Times New Roman"/>
          <w:color w:val="000000"/>
        </w:rPr>
        <w:t>是指</w:t>
      </w:r>
      <w:r>
        <w:rPr>
          <w:rFonts w:ascii="Times New Roman" w:hAnsi="Times New Roman" w:cs="Times New Roman"/>
          <w:color w:val="000000"/>
        </w:rPr>
        <w:t>使两个导体之间不会出现（    ）的距离</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碰撞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联系</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.危险火花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接触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浪涌保护</w:t>
      </w:r>
      <w:r>
        <w:rPr>
          <w:rFonts w:hint="eastAsia" w:ascii="Times New Roman" w:hAnsi="Times New Roman" w:cs="Times New Roman"/>
          <w:color w:val="000000"/>
        </w:rPr>
        <w:t>器是</w:t>
      </w:r>
      <w:r>
        <w:rPr>
          <w:rFonts w:ascii="Times New Roman" w:hAnsi="Times New Roman" w:cs="Times New Roman"/>
          <w:color w:val="000000"/>
        </w:rPr>
        <w:t>一种用来限制瞬时过电压和（    ）的</w:t>
      </w:r>
      <w:r>
        <w:rPr>
          <w:rFonts w:hint="eastAsia" w:ascii="Times New Roman" w:hAnsi="Times New Roman" w:cs="Times New Roman"/>
          <w:color w:val="000000"/>
        </w:rPr>
        <w:t>器件，</w:t>
      </w:r>
      <w:r>
        <w:rPr>
          <w:rFonts w:ascii="Times New Roman" w:hAnsi="Times New Roman" w:cs="Times New Roman"/>
          <w:color w:val="000000"/>
        </w:rPr>
        <w:t>它至少包含一个非线性元件</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保护设备</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限制电流</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传导电流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转移浪涌</w:t>
      </w:r>
      <w:r>
        <w:rPr>
          <w:rFonts w:ascii="Times New Roman" w:hAnsi="Times New Roman" w:cs="Times New Roman"/>
          <w:color w:val="000000"/>
        </w:rPr>
        <w:t>电流</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测试接头</w:t>
      </w:r>
      <w:r>
        <w:rPr>
          <w:rFonts w:hint="eastAsia" w:ascii="Times New Roman" w:hAnsi="Times New Roman" w:cs="Times New Roman"/>
          <w:color w:val="000000"/>
        </w:rPr>
        <w:t>是</w:t>
      </w:r>
      <w:r>
        <w:rPr>
          <w:rFonts w:ascii="Times New Roman" w:hAnsi="Times New Roman" w:cs="Times New Roman"/>
          <w:color w:val="000000"/>
        </w:rPr>
        <w:t>用于（    ）</w:t>
      </w:r>
      <w:r>
        <w:rPr>
          <w:rFonts w:hint="eastAsia" w:ascii="Times New Roman" w:hAnsi="Times New Roman" w:cs="Times New Roman"/>
          <w:color w:val="000000"/>
        </w:rPr>
        <w:t>和</w:t>
      </w:r>
      <w:r>
        <w:rPr>
          <w:rFonts w:ascii="Times New Roman" w:hAnsi="Times New Roman" w:cs="Times New Roman"/>
          <w:color w:val="000000"/>
        </w:rPr>
        <w:t>LPS部件</w:t>
      </w:r>
      <w:r>
        <w:rPr>
          <w:rFonts w:hint="eastAsia" w:ascii="Times New Roman" w:hAnsi="Times New Roman" w:cs="Times New Roman"/>
          <w:color w:val="000000"/>
        </w:rPr>
        <w:t>测量的点。</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.电气测试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LPS类型</w:t>
      </w:r>
      <w:r>
        <w:rPr>
          <w:rFonts w:hint="eastAsia" w:ascii="Times New Roman" w:hAnsi="Times New Roman" w:cs="Times New Roman"/>
          <w:color w:val="000000"/>
        </w:rPr>
        <w:t>是指</w:t>
      </w:r>
      <w:r>
        <w:rPr>
          <w:rFonts w:ascii="Times New Roman" w:hAnsi="Times New Roman" w:cs="Times New Roman"/>
          <w:color w:val="000000"/>
        </w:rPr>
        <w:t>根据设计中的（    ）</w:t>
      </w:r>
      <w:r>
        <w:rPr>
          <w:rFonts w:hint="eastAsia" w:ascii="Times New Roman" w:hAnsi="Times New Roman" w:cs="Times New Roman"/>
          <w:color w:val="000000"/>
        </w:rPr>
        <w:t>水平</w:t>
      </w:r>
      <w:r>
        <w:rPr>
          <w:rFonts w:ascii="Times New Roman" w:hAnsi="Times New Roman" w:cs="Times New Roman"/>
          <w:color w:val="000000"/>
        </w:rPr>
        <w:t>，用来标识LPS</w:t>
      </w:r>
      <w:r>
        <w:rPr>
          <w:rFonts w:hint="eastAsia" w:ascii="Times New Roman" w:hAnsi="Times New Roman" w:cs="Times New Roman"/>
          <w:color w:val="000000"/>
        </w:rPr>
        <w:t>分类</w:t>
      </w:r>
      <w:r>
        <w:rPr>
          <w:rFonts w:ascii="Times New Roman" w:hAnsi="Times New Roman" w:cs="Times New Roman"/>
          <w:color w:val="000000"/>
        </w:rPr>
        <w:t>的数字</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防雷等级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雷电防护</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建筑物保护</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防雷设计人员</w:t>
      </w:r>
      <w:r>
        <w:rPr>
          <w:rFonts w:hint="eastAsia" w:ascii="Times New Roman" w:hAnsi="Times New Roman" w:cs="Times New Roman"/>
          <w:color w:val="000000"/>
        </w:rPr>
        <w:t>是指能</w:t>
      </w:r>
      <w:r>
        <w:rPr>
          <w:rFonts w:ascii="Times New Roman" w:hAnsi="Times New Roman" w:cs="Times New Roman"/>
          <w:color w:val="000000"/>
        </w:rPr>
        <w:t>熟练</w:t>
      </w:r>
      <w:r>
        <w:rPr>
          <w:rFonts w:hint="eastAsia" w:ascii="Times New Roman" w:hAnsi="Times New Roman" w:cs="Times New Roman"/>
          <w:color w:val="000000"/>
        </w:rPr>
        <w:t>进行</w:t>
      </w:r>
      <w:r>
        <w:rPr>
          <w:rFonts w:ascii="Times New Roman" w:hAnsi="Times New Roman" w:cs="Times New Roman"/>
          <w:color w:val="000000"/>
        </w:rPr>
        <w:t>（    ）</w:t>
      </w:r>
      <w:r>
        <w:rPr>
          <w:rFonts w:hint="eastAsia" w:ascii="Times New Roman" w:hAnsi="Times New Roman" w:cs="Times New Roman"/>
          <w:color w:val="000000"/>
        </w:rPr>
        <w:t>设计的</w:t>
      </w:r>
      <w:r>
        <w:rPr>
          <w:rFonts w:ascii="Times New Roman" w:hAnsi="Times New Roman" w:cs="Times New Roman"/>
          <w:color w:val="000000"/>
        </w:rPr>
        <w:t>专</w:t>
      </w:r>
      <w:r>
        <w:rPr>
          <w:rFonts w:hint="eastAsia" w:ascii="Times New Roman" w:hAnsi="Times New Roman" w:cs="Times New Roman"/>
          <w:color w:val="000000"/>
        </w:rPr>
        <w:t>业人员</w:t>
      </w:r>
      <w:r>
        <w:rPr>
          <w:rFonts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LPS</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建筑物防雷</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防雷安装人员</w:t>
      </w:r>
      <w:r>
        <w:rPr>
          <w:rFonts w:hint="eastAsia" w:ascii="Times New Roman" w:hAnsi="Times New Roman" w:cs="Times New Roman"/>
          <w:color w:val="000000"/>
        </w:rPr>
        <w:t>是指</w:t>
      </w:r>
      <w:r>
        <w:rPr>
          <w:rFonts w:ascii="Times New Roman" w:hAnsi="Times New Roman" w:cs="Times New Roman"/>
          <w:color w:val="000000"/>
        </w:rPr>
        <w:t>能熟练安装（    ）的人员</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LPS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接闪器</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以上都是</w:t>
      </w:r>
      <w:r>
        <w:rPr>
          <w:rFonts w:ascii="Times New Roman" w:hAnsi="Times New Roman" w:cs="Times New Roman"/>
          <w:color w:val="000000"/>
        </w:rPr>
        <w:t xml:space="preserve"> </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有爆炸危险的建筑物是储存固体爆炸性材料的建筑物或处于I</w:t>
      </w:r>
      <w:r>
        <w:rPr>
          <w:rFonts w:ascii="Times New Roman" w:hAnsi="Times New Roman" w:cs="Times New Roman"/>
          <w:color w:val="000000"/>
        </w:rPr>
        <w:t>EC 60079-10和IEC 61241-10</w:t>
      </w:r>
      <w:r>
        <w:rPr>
          <w:rFonts w:hint="eastAsia" w:ascii="Times New Roman" w:hAnsi="Times New Roman" w:cs="Times New Roman"/>
          <w:color w:val="000000"/>
        </w:rPr>
        <w:t>中定义的</w:t>
      </w:r>
      <w:r>
        <w:rPr>
          <w:rFonts w:ascii="Times New Roman" w:hAnsi="Times New Roman" w:cs="Times New Roman"/>
          <w:color w:val="000000"/>
        </w:rPr>
        <w:t>（    ）</w:t>
      </w:r>
      <w:r>
        <w:rPr>
          <w:rFonts w:hint="eastAsia" w:ascii="Times New Roman" w:hAnsi="Times New Roman" w:cs="Times New Roman"/>
          <w:color w:val="000000"/>
        </w:rPr>
        <w:t>的建筑物。</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防雷分类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危险区域</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重要程度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安全水平</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固体爆炸性材料是指固体化合物、混合物或装置，主要用途或普通用途用于</w:t>
      </w:r>
      <w:r>
        <w:rPr>
          <w:rFonts w:ascii="Times New Roman" w:hAnsi="Times New Roman" w:cs="Times New Roman"/>
          <w:color w:val="000000"/>
        </w:rPr>
        <w:t>（    ）</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防火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雷电防护</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爆炸</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建筑物安装</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第3部分：建筑物的物理损坏和生命危险》第D.2.1条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0区是由空气和易燃物质混合物（气体、蒸汽或烟雾）组成的爆炸性气体</w:t>
      </w:r>
      <w:r>
        <w:rPr>
          <w:rFonts w:ascii="Times New Roman" w:hAnsi="Times New Roman" w:cs="Times New Roman"/>
          <w:color w:val="000000"/>
        </w:rPr>
        <w:t>（    ）</w:t>
      </w:r>
      <w:r>
        <w:rPr>
          <w:rFonts w:hint="eastAsia" w:ascii="Times New Roman" w:hAnsi="Times New Roman" w:cs="Times New Roman"/>
          <w:color w:val="000000"/>
        </w:rPr>
        <w:t>存在或长期存在或经常存在的区域。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连续</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固定时间</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 </w:t>
      </w:r>
      <w:r>
        <w:rPr>
          <w:rFonts w:hint="eastAsia" w:ascii="Times New Roman" w:hAnsi="Times New Roman" w:cs="Times New Roman"/>
          <w:color w:val="000000"/>
        </w:rPr>
        <w:t>不定时</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偶然</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1区：正常运行期间，由气态易燃物质混合物（煤气、蒸汽或烟雾）组成的爆炸性气体</w:t>
      </w:r>
      <w:r>
        <w:rPr>
          <w:rFonts w:ascii="Times New Roman" w:hAnsi="Times New Roman" w:cs="Times New Roman"/>
          <w:color w:val="000000"/>
        </w:rPr>
        <w:t>（    ）</w:t>
      </w:r>
      <w:r>
        <w:rPr>
          <w:rFonts w:hint="eastAsia" w:ascii="Times New Roman" w:hAnsi="Times New Roman" w:cs="Times New Roman"/>
          <w:color w:val="000000"/>
        </w:rPr>
        <w:t>存在的区域。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不可能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可能</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偶尔可能</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不定时</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第3部分：建筑物的物理损坏和生命危险》第D.2.3条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2区：由气态易燃物质混合物（煤气、蒸汽或烟雾）组成的爆炸性气体，正常运行期间不可能出现，如果出现，仅持续</w:t>
      </w:r>
      <w:r>
        <w:rPr>
          <w:rFonts w:ascii="Times New Roman" w:hAnsi="Times New Roman" w:cs="Times New Roman"/>
          <w:color w:val="000000"/>
        </w:rPr>
        <w:t>（    ）</w:t>
      </w:r>
      <w:r>
        <w:rPr>
          <w:rFonts w:hint="eastAsia" w:ascii="Times New Roman" w:hAnsi="Times New Roman" w:cs="Times New Roman"/>
          <w:color w:val="000000"/>
        </w:rPr>
        <w:t>时间的区域。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不定时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短暂</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一定</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较长</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第3部分：建筑物的物理损坏和生命危险》第D.2.4条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20区：空气中含有易燃粉尘爆炸性气体连续存在、长期存在或</w:t>
      </w:r>
      <w:r>
        <w:rPr>
          <w:rFonts w:ascii="Times New Roman" w:hAnsi="Times New Roman" w:cs="Times New Roman"/>
          <w:color w:val="000000"/>
        </w:rPr>
        <w:t>（    ）</w:t>
      </w:r>
      <w:r>
        <w:rPr>
          <w:rFonts w:hint="eastAsia" w:ascii="Times New Roman" w:hAnsi="Times New Roman" w:cs="Times New Roman"/>
          <w:color w:val="000000"/>
        </w:rPr>
        <w:t>存在的区域。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经常</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偶然</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短暂</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固定</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21区：正常运行期间，空气中含有易燃粉尘爆性气体</w:t>
      </w:r>
      <w:r>
        <w:rPr>
          <w:rFonts w:ascii="Times New Roman" w:hAnsi="Times New Roman" w:cs="Times New Roman"/>
          <w:color w:val="000000"/>
        </w:rPr>
        <w:t>（    ）</w:t>
      </w:r>
      <w:r>
        <w:rPr>
          <w:rFonts w:hint="eastAsia" w:ascii="Times New Roman" w:hAnsi="Times New Roman" w:cs="Times New Roman"/>
          <w:color w:val="000000"/>
        </w:rPr>
        <w:t>存在的区域。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不可能</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一定</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偶尔可能</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可能</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22区：空气中含有易燃粉尘爆炸性气体的区域，正常运行期间</w:t>
      </w:r>
      <w:r>
        <w:rPr>
          <w:rFonts w:ascii="Times New Roman" w:hAnsi="Times New Roman" w:cs="Times New Roman"/>
          <w:color w:val="000000"/>
        </w:rPr>
        <w:t>（    ）</w:t>
      </w:r>
      <w:r>
        <w:rPr>
          <w:rFonts w:hint="eastAsia" w:ascii="Times New Roman" w:hAnsi="Times New Roman" w:cs="Times New Roman"/>
          <w:color w:val="000000"/>
        </w:rPr>
        <w:t>出现，如果出现，仅持续短暂时间。</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短暂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偶然</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偶尔可能</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不可能</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浪涌</w:t>
      </w:r>
      <w:r>
        <w:rPr>
          <w:rFonts w:hint="eastAsia" w:ascii="Times New Roman" w:hAnsi="Times New Roman" w:cs="Times New Roman"/>
          <w:color w:val="000000"/>
        </w:rPr>
        <w:t>（LEMP）是指</w:t>
      </w:r>
      <w:r>
        <w:rPr>
          <w:rFonts w:ascii="Times New Roman" w:hAnsi="Times New Roman" w:cs="Times New Roman"/>
          <w:color w:val="000000"/>
        </w:rPr>
        <w:t>由LEMP引起</w:t>
      </w:r>
      <w:r>
        <w:rPr>
          <w:rFonts w:hint="eastAsia" w:ascii="Times New Roman" w:hAnsi="Times New Roman" w:cs="Times New Roman"/>
          <w:color w:val="000000"/>
        </w:rPr>
        <w:t>的，</w:t>
      </w:r>
      <w:r>
        <w:rPr>
          <w:rFonts w:ascii="Times New Roman" w:hAnsi="Times New Roman" w:cs="Times New Roman"/>
          <w:color w:val="000000"/>
        </w:rPr>
        <w:t>以过电压和/或过电流</w:t>
      </w:r>
      <w:r>
        <w:rPr>
          <w:rFonts w:hint="eastAsia" w:ascii="Times New Roman" w:hAnsi="Times New Roman" w:cs="Times New Roman"/>
          <w:color w:val="000000"/>
        </w:rPr>
        <w:t>形态</w:t>
      </w:r>
      <w:r>
        <w:rPr>
          <w:rFonts w:ascii="Times New Roman" w:hAnsi="Times New Roman" w:cs="Times New Roman"/>
          <w:color w:val="000000"/>
        </w:rPr>
        <w:t>出现的（    ）</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瞬态波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过电压</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过电流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以上都是</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额定冲击耐受电压水平（U</w:t>
      </w:r>
      <w:r>
        <w:rPr>
          <w:rFonts w:ascii="Times New Roman" w:hAnsi="Times New Roman" w:cs="Times New Roman"/>
          <w:color w:val="000000"/>
          <w:vertAlign w:val="subscript"/>
        </w:rPr>
        <w:t>w</w:t>
      </w:r>
      <w:r>
        <w:rPr>
          <w:rFonts w:ascii="Times New Roman" w:hAnsi="Times New Roman" w:cs="Times New Roman"/>
          <w:color w:val="000000"/>
        </w:rPr>
        <w:t>）</w:t>
      </w:r>
      <w:r>
        <w:rPr>
          <w:rFonts w:hint="eastAsia" w:ascii="Times New Roman" w:hAnsi="Times New Roman" w:cs="Times New Roman"/>
          <w:color w:val="000000"/>
        </w:rPr>
        <w:t>是由制造商对设备或其某一部件认定的冲击耐受电压，表征其规定的对过电压的</w:t>
      </w:r>
      <w:r>
        <w:rPr>
          <w:rFonts w:ascii="Times New Roman" w:hAnsi="Times New Roman" w:cs="Times New Roman"/>
          <w:color w:val="000000"/>
        </w:rPr>
        <w:t>（    ）</w:t>
      </w:r>
      <w:r>
        <w:rPr>
          <w:rFonts w:hint="eastAsia" w:ascii="Times New Roman" w:hAnsi="Times New Roman" w:cs="Times New Roman"/>
          <w:color w:val="000000"/>
        </w:rPr>
        <w:t>能力。</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耐受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抗击穿</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泄放</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防护</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雷电防护水平（LPL）</w:t>
      </w:r>
      <w:r>
        <w:rPr>
          <w:rFonts w:hint="eastAsia" w:ascii="Times New Roman" w:hAnsi="Times New Roman" w:cs="Times New Roman"/>
          <w:color w:val="000000"/>
        </w:rPr>
        <w:t>是指与</w:t>
      </w:r>
      <w:r>
        <w:rPr>
          <w:rFonts w:ascii="Times New Roman" w:hAnsi="Times New Roman" w:cs="Times New Roman"/>
          <w:color w:val="000000"/>
        </w:rPr>
        <w:t>（    ）</w:t>
      </w:r>
      <w:r>
        <w:rPr>
          <w:rFonts w:hint="eastAsia" w:ascii="Times New Roman" w:hAnsi="Times New Roman" w:cs="Times New Roman"/>
          <w:color w:val="000000"/>
        </w:rPr>
        <w:t>相关的一组雷电流参数数值，其相关的最大和最小设计值不应当超过自然发生的雷电。</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概率</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防雷设计</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建筑物防护</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防护设备</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雷电防护区（LPZ）</w:t>
      </w:r>
      <w:r>
        <w:rPr>
          <w:rFonts w:hint="eastAsia" w:ascii="Times New Roman" w:hAnsi="Times New Roman" w:cs="Times New Roman"/>
          <w:color w:val="000000"/>
        </w:rPr>
        <w:t>是指</w:t>
      </w:r>
      <w:r>
        <w:rPr>
          <w:rFonts w:ascii="Times New Roman" w:hAnsi="Times New Roman" w:cs="Times New Roman"/>
          <w:color w:val="000000"/>
        </w:rPr>
        <w:t>规定雷电（    ）环境的区域</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保护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浪涌</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.电磁场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LEMP防护措施系统（LPMS）</w:t>
      </w:r>
      <w:r>
        <w:rPr>
          <w:rFonts w:hint="eastAsia" w:ascii="Times New Roman" w:hAnsi="Times New Roman" w:cs="Times New Roman"/>
          <w:color w:val="000000"/>
        </w:rPr>
        <w:t>是指</w:t>
      </w:r>
      <w:r>
        <w:rPr>
          <w:rFonts w:ascii="Times New Roman" w:hAnsi="Times New Roman" w:cs="Times New Roman"/>
          <w:color w:val="000000"/>
        </w:rPr>
        <w:t>（    ）用来防护LEMP的完整防护措施系统</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建筑物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重要设备</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计算机机房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内部系统</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格栅形空间屏蔽</w:t>
      </w:r>
      <w:r>
        <w:rPr>
          <w:rFonts w:hint="eastAsia" w:ascii="Times New Roman" w:hAnsi="Times New Roman" w:cs="Times New Roman"/>
          <w:color w:val="000000"/>
        </w:rPr>
        <w:t>是指</w:t>
      </w:r>
      <w:r>
        <w:rPr>
          <w:rFonts w:ascii="Times New Roman" w:hAnsi="Times New Roman" w:cs="Times New Roman"/>
          <w:color w:val="000000"/>
        </w:rPr>
        <w:t>有（    ）特征的磁屏蔽</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网状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防护</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.开孔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长方形</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连接</w:t>
      </w:r>
      <w:r>
        <w:rPr>
          <w:rFonts w:ascii="Times New Roman" w:hAnsi="Times New Roman" w:cs="Times New Roman"/>
          <w:color w:val="000000"/>
        </w:rPr>
        <w:t>网络</w:t>
      </w:r>
      <w:r>
        <w:rPr>
          <w:rFonts w:hint="eastAsia" w:ascii="Times New Roman" w:hAnsi="Times New Roman" w:cs="Times New Roman"/>
          <w:color w:val="000000"/>
        </w:rPr>
        <w:t>是指建筑物和内部系统所有导体部件（带电导体除外）与</w:t>
      </w:r>
      <w:r>
        <w:rPr>
          <w:rFonts w:ascii="Times New Roman" w:hAnsi="Times New Roman" w:cs="Times New Roman"/>
          <w:color w:val="000000"/>
        </w:rPr>
        <w:t>（    ）</w:t>
      </w:r>
      <w:r>
        <w:rPr>
          <w:rFonts w:hint="eastAsia" w:ascii="Times New Roman" w:hAnsi="Times New Roman" w:cs="Times New Roman"/>
          <w:color w:val="000000"/>
        </w:rPr>
        <w:t>相互连接的网络。</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接地装置</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等电位连接带</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第3.12条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用I</w:t>
      </w:r>
      <w:r>
        <w:rPr>
          <w:rFonts w:ascii="Times New Roman" w:hAnsi="Times New Roman" w:cs="Times New Roman"/>
          <w:color w:val="000000"/>
          <w:vertAlign w:val="subscript"/>
        </w:rPr>
        <w:t>imp</w:t>
      </w:r>
      <w:r>
        <w:rPr>
          <w:rFonts w:ascii="Times New Roman" w:hAnsi="Times New Roman" w:cs="Times New Roman"/>
          <w:color w:val="000000"/>
        </w:rPr>
        <w:t>测试的SPD</w:t>
      </w:r>
      <w:r>
        <w:rPr>
          <w:rFonts w:hint="eastAsia" w:ascii="Times New Roman" w:hAnsi="Times New Roman" w:cs="Times New Roman"/>
          <w:color w:val="000000"/>
        </w:rPr>
        <w:t>：</w:t>
      </w:r>
      <w:r>
        <w:rPr>
          <w:rFonts w:ascii="Times New Roman" w:hAnsi="Times New Roman" w:cs="Times New Roman"/>
          <w:color w:val="000000"/>
        </w:rPr>
        <w:t>耐受典型波形（    ）的部分雷电流的SPD，要求一个相应的冲击试验电流I</w:t>
      </w:r>
      <w:r>
        <w:rPr>
          <w:rFonts w:ascii="Times New Roman" w:hAnsi="Times New Roman" w:cs="Times New Roman"/>
          <w:color w:val="000000"/>
          <w:vertAlign w:val="subscript"/>
        </w:rPr>
        <w:t>imp</w:t>
      </w:r>
      <w:r>
        <w:rPr>
          <w:rFonts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8/20μs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.10/350μs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.8/</w:t>
      </w:r>
      <w:r>
        <w:rPr>
          <w:rFonts w:hint="eastAsia" w:ascii="Times New Roman" w:hAnsi="Times New Roman" w:cs="Times New Roman"/>
          <w:color w:val="000000"/>
        </w:rPr>
        <w:t>30</w:t>
      </w:r>
      <w:r>
        <w:rPr>
          <w:rFonts w:ascii="Times New Roman" w:hAnsi="Times New Roman" w:cs="Times New Roman"/>
          <w:color w:val="000000"/>
        </w:rPr>
        <w:t xml:space="preserve">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10</w:t>
      </w:r>
      <w:r>
        <w:rPr>
          <w:rFonts w:ascii="Times New Roman" w:hAnsi="Times New Roman" w:cs="Times New Roman"/>
          <w:color w:val="000000"/>
        </w:rPr>
        <w:t>/2</w:t>
      </w:r>
      <w:r>
        <w:rPr>
          <w:rFonts w:hint="eastAsia" w:ascii="Times New Roman" w:hAnsi="Times New Roman" w:cs="Times New Roman"/>
          <w:color w:val="000000"/>
        </w:rPr>
        <w:t>5</w:t>
      </w:r>
      <w:r>
        <w:rPr>
          <w:rFonts w:ascii="Times New Roman" w:hAnsi="Times New Roman" w:cs="Times New Roman"/>
          <w:color w:val="000000"/>
        </w:rPr>
        <w:t>0μs</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-2010</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第3.15条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用I</w:t>
      </w:r>
      <w:r>
        <w:rPr>
          <w:rFonts w:ascii="Times New Roman" w:hAnsi="Times New Roman" w:cs="Times New Roman"/>
          <w:color w:val="000000"/>
          <w:vertAlign w:val="subscript"/>
        </w:rPr>
        <w:t>n</w:t>
      </w:r>
      <w:r>
        <w:rPr>
          <w:rFonts w:ascii="Times New Roman" w:hAnsi="Times New Roman" w:cs="Times New Roman"/>
          <w:color w:val="000000"/>
        </w:rPr>
        <w:t>测试的SPD</w:t>
      </w:r>
      <w:r>
        <w:rPr>
          <w:rFonts w:hint="eastAsia" w:ascii="Times New Roman" w:hAnsi="Times New Roman" w:cs="Times New Roman"/>
          <w:color w:val="000000"/>
        </w:rPr>
        <w:t>：</w:t>
      </w:r>
      <w:r>
        <w:rPr>
          <w:rFonts w:ascii="Times New Roman" w:hAnsi="Times New Roman" w:cs="Times New Roman"/>
          <w:color w:val="000000"/>
        </w:rPr>
        <w:t>耐受典型波形（    ）的感应浪涌电流的SPD，要求一个相应的冲击试验电流I</w:t>
      </w:r>
      <w:r>
        <w:rPr>
          <w:rFonts w:ascii="Times New Roman" w:hAnsi="Times New Roman" w:cs="Times New Roman"/>
          <w:color w:val="000000"/>
          <w:vertAlign w:val="subscript"/>
        </w:rPr>
        <w:t>n</w:t>
      </w:r>
      <w:r>
        <w:rPr>
          <w:rFonts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8/20μs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.10/350μs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.8/</w:t>
      </w:r>
      <w:r>
        <w:rPr>
          <w:rFonts w:hint="eastAsia" w:ascii="Times New Roman" w:hAnsi="Times New Roman" w:cs="Times New Roman"/>
          <w:color w:val="000000"/>
        </w:rPr>
        <w:t>30</w:t>
      </w:r>
      <w:r>
        <w:rPr>
          <w:rFonts w:ascii="Times New Roman" w:hAnsi="Times New Roman" w:cs="Times New Roman"/>
          <w:color w:val="000000"/>
        </w:rPr>
        <w:t xml:space="preserve">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10</w:t>
      </w:r>
      <w:r>
        <w:rPr>
          <w:rFonts w:ascii="Times New Roman" w:hAnsi="Times New Roman" w:cs="Times New Roman"/>
          <w:color w:val="000000"/>
        </w:rPr>
        <w:t>/2</w:t>
      </w:r>
      <w:r>
        <w:rPr>
          <w:rFonts w:hint="eastAsia" w:ascii="Times New Roman" w:hAnsi="Times New Roman" w:cs="Times New Roman"/>
          <w:color w:val="000000"/>
        </w:rPr>
        <w:t>5</w:t>
      </w:r>
      <w:r>
        <w:rPr>
          <w:rFonts w:ascii="Times New Roman" w:hAnsi="Times New Roman" w:cs="Times New Roman"/>
          <w:color w:val="000000"/>
        </w:rPr>
        <w:t>0μs</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第3.16条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用组合波测试的SPD</w:t>
      </w:r>
      <w:r>
        <w:rPr>
          <w:rFonts w:hint="eastAsia" w:ascii="Times New Roman" w:hAnsi="Times New Roman" w:cs="Times New Roman"/>
          <w:color w:val="000000"/>
        </w:rPr>
        <w:t>（LEMP）：</w:t>
      </w:r>
      <w:r>
        <w:rPr>
          <w:rFonts w:ascii="Times New Roman" w:hAnsi="Times New Roman" w:cs="Times New Roman"/>
          <w:color w:val="000000"/>
        </w:rPr>
        <w:t>耐受典型波形（    ）的感应浪涌电流的SPD，要求一个相应的冲击试验电流为I</w:t>
      </w:r>
      <w:r>
        <w:rPr>
          <w:rFonts w:ascii="Times New Roman" w:hAnsi="Times New Roman" w:cs="Times New Roman"/>
          <w:color w:val="000000"/>
          <w:vertAlign w:val="subscript"/>
        </w:rPr>
        <w:t>sc</w:t>
      </w:r>
      <w:r>
        <w:rPr>
          <w:rFonts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8/20μs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 xml:space="preserve">.10/350μs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.8/</w:t>
      </w:r>
      <w:r>
        <w:rPr>
          <w:rFonts w:hint="eastAsia" w:ascii="Times New Roman" w:hAnsi="Times New Roman" w:cs="Times New Roman"/>
          <w:color w:val="000000"/>
        </w:rPr>
        <w:t>30</w:t>
      </w:r>
      <w:r>
        <w:rPr>
          <w:rFonts w:ascii="Times New Roman" w:hAnsi="Times New Roman" w:cs="Times New Roman"/>
          <w:color w:val="000000"/>
        </w:rPr>
        <w:t xml:space="preserve">μs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10</w:t>
      </w:r>
      <w:r>
        <w:rPr>
          <w:rFonts w:ascii="Times New Roman" w:hAnsi="Times New Roman" w:cs="Times New Roman"/>
          <w:color w:val="000000"/>
        </w:rPr>
        <w:t>/2</w:t>
      </w:r>
      <w:r>
        <w:rPr>
          <w:rFonts w:hint="eastAsia" w:ascii="Times New Roman" w:hAnsi="Times New Roman" w:cs="Times New Roman"/>
          <w:color w:val="000000"/>
        </w:rPr>
        <w:t>5</w:t>
      </w:r>
      <w:r>
        <w:rPr>
          <w:rFonts w:ascii="Times New Roman" w:hAnsi="Times New Roman" w:cs="Times New Roman"/>
          <w:color w:val="000000"/>
        </w:rPr>
        <w:t>0μs</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第3.17条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hint="eastAsia" w:ascii="Times New Roman" w:hAnsi="Times New Roman" w:cs="Times New Roman"/>
          <w:color w:val="000000"/>
        </w:rPr>
        <w:t>电压开关型SPD：</w:t>
      </w:r>
      <w:r>
        <w:rPr>
          <w:rFonts w:ascii="Times New Roman" w:hAnsi="Times New Roman" w:cs="Times New Roman"/>
          <w:color w:val="000000"/>
        </w:rPr>
        <w:t>无浪涌时呈高阻抗值，但一旦响应电压浪涌时，其阻抗突然变为（    ）的SPD</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零</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减小</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持续减小</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低值 </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限压型SPD</w:t>
      </w:r>
      <w:r>
        <w:rPr>
          <w:rFonts w:hint="eastAsia" w:ascii="Times New Roman" w:hAnsi="Times New Roman" w:cs="Times New Roman"/>
          <w:color w:val="000000"/>
        </w:rPr>
        <w:t>：</w:t>
      </w:r>
      <w:r>
        <w:rPr>
          <w:rFonts w:ascii="Times New Roman" w:hAnsi="Times New Roman" w:cs="Times New Roman"/>
          <w:color w:val="000000"/>
        </w:rPr>
        <w:t>无浪涌时呈高阻抗值，但随着浪涌电流和浪涌电压的增加，其阻抗会（    ）的SPD</w:t>
      </w:r>
      <w:r>
        <w:rPr>
          <w:rFonts w:hint="eastAsia" w:ascii="Times New Roman" w:hAnsi="Times New Roman" w:cs="Times New Roman"/>
          <w:color w:val="000000"/>
        </w:rPr>
        <w:t>。</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变零 </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减小</w:t>
      </w:r>
      <w:r>
        <w:rPr>
          <w:rFonts w:ascii="Times New Roman" w:hAnsi="Times New Roman" w:cs="Times New Roman"/>
          <w:color w:val="000000"/>
        </w:rPr>
        <w:t xml:space="preserve">     </w:t>
      </w:r>
      <w:r>
        <w:rPr>
          <w:rFonts w:ascii="Times New Roman" w:hAnsi="Times New Roman" w:cs="Times New Roman"/>
          <w:color w:val="000000"/>
        </w:rPr>
        <w:tab/>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.不断减小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保持低值</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将电压开关型组件和限压型组件组装在一起的SPD，根据外施电压的特性，SPD显示出电压开关特性、限压特性或者同时具有电压开关特性和限压特性。</w:t>
      </w:r>
    </w:p>
    <w:p>
      <w:pPr>
        <w:pStyle w:val="5"/>
        <w:spacing w:before="0" w:beforeAutospacing="0" w:after="0" w:afterAutospacing="0" w:line="400" w:lineRule="exact"/>
        <w:ind w:firstLine="600" w:firstLineChars="2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组合型SPD</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限压型SPD</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电压开关型SPD</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电压开关特性和限压特性SPD</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numPr>
          <w:ilvl w:val="0"/>
          <w:numId w:val="5"/>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）的SPD防护</w:t>
      </w:r>
      <w:r>
        <w:rPr>
          <w:rFonts w:hint="eastAsia" w:ascii="Times New Roman" w:hAnsi="Times New Roman" w:cs="Times New Roman"/>
          <w:color w:val="000000"/>
        </w:rPr>
        <w:t>是</w:t>
      </w:r>
      <w:r>
        <w:rPr>
          <w:rFonts w:ascii="Times New Roman" w:hAnsi="Times New Roman" w:cs="Times New Roman"/>
          <w:color w:val="000000"/>
        </w:rPr>
        <w:t>一组经过适当选择、配合和安装，用于减少电气和电子系统的SPD。</w:t>
      </w:r>
    </w:p>
    <w:p>
      <w:pPr>
        <w:pStyle w:val="5"/>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协调配合  </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限压型</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电压开关型</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电压开关特性和限压特性</w:t>
      </w: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numPr>
          <w:numId w:val="0"/>
        </w:numPr>
        <w:rPr>
          <w:rFonts w:hint="default" w:ascii="黑体" w:hAnsi="黑体" w:eastAsia="黑体" w:cs="黑体"/>
          <w:sz w:val="28"/>
          <w:szCs w:val="36"/>
          <w:lang w:val="en-US" w:eastAsia="zh-CN"/>
        </w:rPr>
      </w:pPr>
    </w:p>
    <w:p>
      <w:pPr>
        <w:numPr>
          <w:numId w:val="0"/>
        </w:numPr>
        <w:ind w:leftChars="200"/>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四、多项选择</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黑体" w:hAnsi="黑体" w:eastAsia="黑体" w:cs="黑体"/>
          <w:sz w:val="28"/>
          <w:szCs w:val="36"/>
          <w:lang w:val="en-US" w:eastAsia="zh-CN"/>
        </w:rPr>
        <w:t xml:space="preserve">    </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s="Times New Roman"/>
          <w:color w:val="000000"/>
        </w:rPr>
        <w:t>雷电对住宅的影响主要有以下几种？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电气装置击穿、火灾或材料损坏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损害通常限于暴露于雷击点或暴露于雷电流通道的对象</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装设的电气、电子设备和系统失效（如电视机、计算机、调制解调器、电话等）</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sz w:val="18"/>
        </w:rPr>
        <w:t xml:space="preserve"> </w:t>
      </w:r>
      <w:r>
        <w:rPr>
          <w:rFonts w:hint="eastAsia" w:ascii="Times New Roman" w:hAnsi="Times New Roman" w:eastAsia="宋体" w:cs="Times New Roman"/>
          <w:color w:val="000000"/>
          <w:sz w:val="24"/>
          <w:szCs w:val="24"/>
        </w:rPr>
        <w:t>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w:t>
      </w:r>
      <w:r>
        <w:rPr>
          <w:rFonts w:ascii="Times New Roman" w:hAnsi="Times New Roman"/>
          <w:color w:val="000000"/>
          <w:sz w:val="24"/>
          <w:szCs w:val="24"/>
        </w:rPr>
        <w:t>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s="Times New Roman"/>
          <w:color w:val="000000"/>
        </w:rPr>
        <w:t>雷电对农舍的影响主要有以下几种？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火灾、危险的跨步电压以及材料损坏是首要的风险</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次要的风险是由于电源断电，通风系统、饲料供应系统电子控制失效等，使牲畜生命受到伤害</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装设的电气、电子设备和系统失效（如电视机、计算机、调制解调器、电话等）</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s="Times New Roman"/>
          <w:color w:val="000000"/>
        </w:rPr>
        <w:t>雷电对剧院、宾馆、学校、百货商店、运动场等的影响主要有以下几种？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火灾、危险的跨步电压以及材料损坏是首要的风险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电气装置损坏（如电灯照明）很可能导致恐慌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火警失效使消防延误。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损失类型人身生命损失对应的损害类型是哪几种？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电击造成的人和动物伤害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物理损害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内部系统失效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损失类型公共服务损失对应的损害类型是哪几种？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电击造成的人和动物伤害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物理损害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内部系统失效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损失类型经济损失对应的损害类型是哪几种？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电击造成的人和动物伤害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物理损害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内部系统失效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文化遗产的损失</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各LPL对应的雷电流参数中首次正极性短时间雷击的峰值电流分别是多少？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200</w:t>
      </w:r>
      <w:r>
        <w:rPr>
          <w:rFonts w:hint="eastAsia" w:ascii="Times New Roman" w:hAnsi="Times New Roman" w:eastAsia="宋体" w:cs="Times New Roman"/>
          <w:color w:val="000000"/>
          <w:sz w:val="24"/>
          <w:szCs w:val="24"/>
        </w:rPr>
        <w:t xml:space="preserve">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15</w:t>
      </w:r>
      <w:r>
        <w:rPr>
          <w:rFonts w:ascii="Times New Roman" w:hAnsi="Times New Roman" w:eastAsia="宋体" w:cs="Times New Roman"/>
          <w:color w:val="000000"/>
          <w:sz w:val="24"/>
          <w:szCs w:val="24"/>
        </w:rPr>
        <w:t>0</w:t>
      </w:r>
      <w:r>
        <w:rPr>
          <w:rFonts w:hint="eastAsia" w:ascii="Times New Roman" w:hAnsi="Times New Roman" w:eastAsia="宋体" w:cs="Times New Roman"/>
          <w:color w:val="000000"/>
          <w:sz w:val="24"/>
          <w:szCs w:val="24"/>
        </w:rPr>
        <w:t xml:space="preserve">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1</w:t>
      </w:r>
      <w:r>
        <w:rPr>
          <w:rFonts w:ascii="Times New Roman" w:hAnsi="Times New Roman" w:eastAsia="宋体" w:cs="Times New Roman"/>
          <w:color w:val="000000"/>
          <w:sz w:val="24"/>
          <w:szCs w:val="24"/>
        </w:rPr>
        <w:t>00</w:t>
      </w:r>
      <w:r>
        <w:rPr>
          <w:rFonts w:hint="eastAsia" w:ascii="Times New Roman" w:hAnsi="Times New Roman" w:eastAsia="宋体" w:cs="Times New Roman"/>
          <w:color w:val="000000"/>
          <w:sz w:val="24"/>
          <w:szCs w:val="24"/>
        </w:rPr>
        <w:t xml:space="preserve">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5</w:t>
      </w:r>
      <w:r>
        <w:rPr>
          <w:rFonts w:ascii="Times New Roman" w:hAnsi="Times New Roman" w:eastAsia="宋体" w:cs="Times New Roman"/>
          <w:color w:val="000000"/>
          <w:sz w:val="24"/>
          <w:szCs w:val="24"/>
        </w:rPr>
        <w:t>0</w:t>
      </w:r>
      <w:r>
        <w:rPr>
          <w:rFonts w:hint="eastAsia" w:ascii="Times New Roman" w:hAnsi="Times New Roman" w:eastAsia="宋体" w:cs="Times New Roman"/>
          <w:color w:val="000000"/>
          <w:sz w:val="24"/>
          <w:szCs w:val="24"/>
        </w:rPr>
        <w:t>KA</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各LPL对应的雷电流参数中首次负极性短时间雷击的峰值电流分别是多少？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1</w:t>
      </w:r>
      <w:r>
        <w:rPr>
          <w:rFonts w:ascii="Times New Roman" w:hAnsi="Times New Roman" w:eastAsia="宋体" w:cs="Times New Roman"/>
          <w:color w:val="000000"/>
          <w:sz w:val="24"/>
          <w:szCs w:val="24"/>
        </w:rPr>
        <w:t>00</w:t>
      </w:r>
      <w:r>
        <w:rPr>
          <w:rFonts w:hint="eastAsia" w:ascii="Times New Roman" w:hAnsi="Times New Roman" w:eastAsia="宋体" w:cs="Times New Roman"/>
          <w:color w:val="000000"/>
          <w:sz w:val="24"/>
          <w:szCs w:val="24"/>
        </w:rPr>
        <w:t xml:space="preserve">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75KA</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1</w:t>
      </w:r>
      <w:r>
        <w:rPr>
          <w:rFonts w:ascii="Times New Roman" w:hAnsi="Times New Roman" w:eastAsia="宋体" w:cs="Times New Roman"/>
          <w:color w:val="000000"/>
          <w:sz w:val="24"/>
          <w:szCs w:val="24"/>
        </w:rPr>
        <w:t>00</w:t>
      </w:r>
      <w:r>
        <w:rPr>
          <w:rFonts w:hint="eastAsia" w:ascii="Times New Roman" w:hAnsi="Times New Roman" w:eastAsia="宋体" w:cs="Times New Roman"/>
          <w:color w:val="000000"/>
          <w:sz w:val="24"/>
          <w:szCs w:val="24"/>
        </w:rPr>
        <w:t>KA</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5</w:t>
      </w:r>
      <w:r>
        <w:rPr>
          <w:rFonts w:ascii="Times New Roman" w:hAnsi="Times New Roman" w:eastAsia="宋体" w:cs="Times New Roman"/>
          <w:color w:val="000000"/>
          <w:sz w:val="24"/>
          <w:szCs w:val="24"/>
        </w:rPr>
        <w:t>0</w:t>
      </w:r>
      <w:r>
        <w:rPr>
          <w:rFonts w:hint="eastAsia" w:ascii="Times New Roman" w:hAnsi="Times New Roman" w:eastAsia="宋体" w:cs="Times New Roman"/>
          <w:color w:val="000000"/>
          <w:sz w:val="24"/>
          <w:szCs w:val="24"/>
        </w:rPr>
        <w:t>KA</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各LPL对应的雷电流参数中后续短时间雷击的峰值电流分别是多少？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5</w:t>
      </w:r>
      <w:r>
        <w:rPr>
          <w:rFonts w:ascii="Times New Roman" w:hAnsi="Times New Roman" w:eastAsia="宋体" w:cs="Times New Roman"/>
          <w:color w:val="000000"/>
          <w:sz w:val="24"/>
          <w:szCs w:val="24"/>
        </w:rPr>
        <w:t>0</w:t>
      </w:r>
      <w:r>
        <w:rPr>
          <w:rFonts w:hint="eastAsia" w:ascii="Times New Roman" w:hAnsi="Times New Roman" w:eastAsia="宋体" w:cs="Times New Roman"/>
          <w:color w:val="000000"/>
          <w:sz w:val="24"/>
          <w:szCs w:val="24"/>
        </w:rPr>
        <w:t>KA</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37.5KA</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25KA</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15KA</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各LPL对应的雷电流参数中首次负极性短时间雷击的平均陡度分别是多少？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100KA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75KA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50KA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25KA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各LPL对应的雷电流参数中后续短时间雷击的平均陡度分别是多少？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200KA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150KA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r>
        <w:rPr>
          <w:rFonts w:hint="eastAsia"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100KA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r>
        <w:rPr>
          <w:rFonts w:hint="eastAsia"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50KA</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μ</w:t>
      </w:r>
      <w:r>
        <w:rPr>
          <w:rFonts w:ascii="Times New Roman" w:hAnsi="Times New Roman" w:eastAsia="宋体" w:cs="Times New Roman"/>
          <w:color w:val="000000"/>
          <w:sz w:val="24"/>
          <w:szCs w:val="24"/>
        </w:rPr>
        <w:t>s</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各LPL对应的雷电流参数中长时间雷击的电荷分别是多少？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200C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150C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100C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50C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各LPL对应的雷电流参数中雷闪的电荷分别是多少？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300C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250C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225C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150C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各LPL对应的雷电流参数中最小峰值电流分别是多少？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3KA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5KA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1</w:t>
      </w:r>
      <w:r>
        <w:rPr>
          <w:rFonts w:ascii="Times New Roman" w:hAnsi="Times New Roman" w:eastAsia="宋体" w:cs="Times New Roman"/>
          <w:color w:val="000000"/>
          <w:sz w:val="24"/>
          <w:szCs w:val="24"/>
        </w:rPr>
        <w:t>0</w:t>
      </w:r>
      <w:r>
        <w:rPr>
          <w:rFonts w:hint="eastAsia" w:ascii="Times New Roman" w:hAnsi="Times New Roman" w:eastAsia="宋体" w:cs="Times New Roman"/>
          <w:color w:val="000000"/>
          <w:sz w:val="24"/>
          <w:szCs w:val="24"/>
        </w:rPr>
        <w:t xml:space="preserve">KA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16KA</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21714.1</w:t>
      </w:r>
      <w:r>
        <w:rPr>
          <w:rFonts w:ascii="Times New Roman" w:hAnsi="Times New Roman"/>
          <w:color w:val="000000"/>
        </w:rPr>
        <w:t>-201</w:t>
      </w:r>
      <w:r>
        <w:rPr>
          <w:rFonts w:hint="eastAsia" w:ascii="Times New Roman" w:hAnsi="Times New Roman"/>
          <w:color w:val="000000"/>
        </w:rPr>
        <w:t>5《雷电防护 第1部分：建筑物的物理损坏和生命危险</w:t>
      </w:r>
      <w:r>
        <w:rPr>
          <w:rFonts w:ascii="Times New Roman" w:hAnsi="Times New Roman"/>
          <w:color w:val="000000"/>
        </w:rPr>
        <w:t>》</w:t>
      </w:r>
      <w:r>
        <w:rPr>
          <w:rFonts w:hint="eastAsia" w:ascii="Times New Roman" w:hAnsi="Times New Roman"/>
          <w:color w:val="000000"/>
        </w:rPr>
        <w:t>各LPL对应的雷电流参数中最小峰值电流对应的滚球半径分别是多少？</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20m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30m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45m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60m</w:t>
      </w:r>
    </w:p>
    <w:p>
      <w:pPr>
        <w:pStyle w:val="8"/>
        <w:spacing w:line="400" w:lineRule="exact"/>
        <w:ind w:left="400" w:firstLine="0" w:firstLineChars="0"/>
        <w:jc w:val="left"/>
        <w:rPr>
          <w:rFonts w:ascii="Times New Roman" w:hAnsi="Times New Roman" w:eastAsia="黑体"/>
          <w:color w:val="000000"/>
          <w:sz w:val="24"/>
          <w:szCs w:val="24"/>
        </w:rPr>
      </w:pPr>
      <w:r>
        <w:rPr>
          <w:rFonts w:ascii="Times New Roman" w:hAnsi="Times New Roman" w:eastAsia="黑体"/>
          <w:color w:val="000000"/>
          <w:sz w:val="24"/>
          <w:szCs w:val="24"/>
        </w:rPr>
        <w:t>答案：</w:t>
      </w:r>
      <w:r>
        <w:rPr>
          <w:rFonts w:hint="eastAsia" w:ascii="Times New Roman" w:hAnsi="Times New Roman" w:eastAsia="黑体"/>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，接闪器可由以下哪些部件组成？</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杆状接闪器（包括独立支座）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悬链线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网状导体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金属导体</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，接闪器的定位方式通常有哪些？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折线法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保护角法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滚球法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网格法</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，接闪器在建筑物上的安装位置主要是哪些地方？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建筑物的角上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突出物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暴露在外的点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边缘（特别是屋顶边缘）</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，对于接闪器安装的一般要求表述正确的是哪些？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安装设计适当的接闪器，能大大减少雷电流侵入建筑物的概率。</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位于屋顶的独立的杆状接闪器应互相连接，以利于分散雷电流。</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不允许采用具有放射性的接闪器。</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滚球法尽适用于建筑物</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，对于接闪器安装的一般要求表述正确的是哪些？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接闪器应安装在建筑物的角上、暴露在外的点、边缘（特别是屋顶边缘）。</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接闪器的定位通常有三种方式：保护角法、滚球法、折线法。</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保护角法适用于外形简单的建筑物，但受到接闪器高度的限制。</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网格法适用于对平面表面的保护。</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，安装用于高层建筑防侧面闪络的接闪器有什么要求？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高于60m的建筑物，侧面可能会发生闪络，特别是表面的角、点及边缘。</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为保护高层建筑的上部（大于建筑物高度的80％）及建筑物上安装的设备（见</w:t>
      </w:r>
      <w:r>
        <w:rPr>
          <w:rFonts w:ascii="Times New Roman" w:hAnsi="Times New Roman" w:eastAsia="宋体" w:cs="Times New Roman"/>
          <w:color w:val="000000"/>
          <w:sz w:val="24"/>
          <w:szCs w:val="24"/>
        </w:rPr>
        <w:t>GB</w:t>
      </w:r>
      <w:r>
        <w:rPr>
          <w:rFonts w:hint="eastAsia" w:ascii="Times New Roman" w:hAnsi="Times New Roman" w:eastAsia="宋体" w:cs="Times New Roman"/>
          <w:color w:val="000000"/>
          <w:sz w:val="24"/>
          <w:szCs w:val="24"/>
        </w:rPr>
        <w:t>/T</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21714.3</w:t>
      </w:r>
      <w:r>
        <w:rPr>
          <w:rFonts w:ascii="Times New Roman" w:hAnsi="Times New Roman" w:eastAsia="宋体" w:cs="Times New Roman"/>
          <w:color w:val="000000"/>
          <w:sz w:val="24"/>
          <w:szCs w:val="24"/>
        </w:rPr>
        <w:t>-201</w:t>
      </w:r>
      <w:r>
        <w:rPr>
          <w:rFonts w:hint="eastAsia" w:ascii="Times New Roman" w:hAnsi="Times New Roman" w:eastAsia="宋体" w:cs="Times New Roman"/>
          <w:color w:val="000000"/>
          <w:sz w:val="24"/>
          <w:szCs w:val="24"/>
        </w:rPr>
        <w:t>5附录A），应安装接闪器。</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建筑物上部的保护，同样可应用屋顶上接闪器的定位原则。</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此外，对高度超过120m的建筑物，超过120m并可能遭到损坏的所有部分应加以保护。</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，独立LPS的配置应当遵循哪些原则？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如果接闪器位于多个（或一个）分离支撑杆上（支撑杆不为金属材料或互联钢筋），每个支撑杆至少应安装一根引下线。支撑杆为金属材料或互联钢筋，则不需另外的引下线。</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如果接闪器为悬链线（或一根导线），则每一悬链支点至少需要一根引下线。</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建筑物上部的保护，同样可应用屋顶上接闪器的定位原则。</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如果接闪器形成了一个导线网格，则每一支撑线的末端至少需要一根引下线。</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第5.3条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，接地装置的一般要求是什么？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将雷电流（高频特性）分散入地时，为使任何潜在的过电压降到最小，接地装置的形状和尺寸很重要。一般来说，建议采用较小的接地电阻（如果可能，低频测量时小于10Ω）。</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从防雷观点来看，接地装置最好为单一、整体结构，可适用于任意场合（例如：防雷保护、电力系统和通信系统）。</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如果接闪器形成了一个导线网格，则每一支撑线的末端至少需要一根引下线。建筑物上部的保护，同样可应用屋顶上接闪器的定位原则。</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如果接闪器为悬链线（或一根导线），则每一悬链支点至少需要一根引下线。</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，A型接地装置有什么要求？</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A型接地装置的接地极总数不应小于2。</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在引下线的底部，每个接地极的最小长度为：水平接地极为l</w:t>
      </w:r>
      <w:r>
        <w:rPr>
          <w:rFonts w:hint="eastAsia" w:ascii="Times New Roman" w:hAnsi="Times New Roman" w:eastAsia="宋体" w:cs="Times New Roman"/>
          <w:color w:val="000000"/>
          <w:sz w:val="24"/>
          <w:szCs w:val="24"/>
          <w:vertAlign w:val="subscript"/>
        </w:rPr>
        <w:t>1</w:t>
      </w:r>
      <w:r>
        <w:rPr>
          <w:rFonts w:hint="eastAsia" w:ascii="Times New Roman" w:hAnsi="Times New Roman" w:eastAsia="宋体" w:cs="Times New Roman"/>
          <w:color w:val="000000"/>
          <w:sz w:val="24"/>
          <w:szCs w:val="24"/>
        </w:rPr>
        <w:t>；垂直接地极（或倾斜）为0.5 l</w:t>
      </w:r>
      <w:r>
        <w:rPr>
          <w:rFonts w:hint="eastAsia" w:ascii="Times New Roman" w:hAnsi="Times New Roman" w:eastAsia="宋体" w:cs="Times New Roman"/>
          <w:color w:val="000000"/>
          <w:sz w:val="24"/>
          <w:szCs w:val="24"/>
          <w:vertAlign w:val="subscript"/>
        </w:rPr>
        <w:t>1</w:t>
      </w:r>
      <w:r>
        <w:rPr>
          <w:rFonts w:hint="eastAsia" w:ascii="Times New Roman" w:hAnsi="Times New Roman" w:eastAsia="宋体" w:cs="Times New Roman"/>
          <w:color w:val="000000"/>
          <w:sz w:val="24"/>
          <w:szCs w:val="24"/>
        </w:rPr>
        <w:t>（其中，l</w:t>
      </w:r>
      <w:r>
        <w:rPr>
          <w:rFonts w:hint="eastAsia" w:ascii="Times New Roman" w:hAnsi="Times New Roman" w:eastAsia="宋体" w:cs="Times New Roman"/>
          <w:color w:val="000000"/>
          <w:sz w:val="24"/>
          <w:szCs w:val="24"/>
          <w:vertAlign w:val="subscript"/>
        </w:rPr>
        <w:t>1</w:t>
      </w:r>
      <w:r>
        <w:rPr>
          <w:rFonts w:hint="eastAsia" w:ascii="Times New Roman" w:hAnsi="Times New Roman" w:eastAsia="宋体" w:cs="Times New Roman"/>
          <w:color w:val="000000"/>
          <w:sz w:val="24"/>
          <w:szCs w:val="24"/>
        </w:rPr>
        <w:t>为水平接地极的最小长度）。</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对组合（垂直或水平）接地极应考虑总长度。</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接地体可以是网状。</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，B型接地装置有什么要求？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可以是位于建筑物外面且总长度至少80％与土壤接触的环形导体或基础接地体。</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接地体可以是网状。</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对环形接地体（或基础接地体），所在区域的半径r</w:t>
      </w:r>
      <w:r>
        <w:rPr>
          <w:rFonts w:hint="eastAsia" w:ascii="Times New Roman" w:hAnsi="Times New Roman" w:eastAsia="宋体" w:cs="Times New Roman"/>
          <w:color w:val="000000"/>
          <w:sz w:val="24"/>
          <w:szCs w:val="24"/>
          <w:vertAlign w:val="subscript"/>
        </w:rPr>
        <w:t>e</w:t>
      </w:r>
      <w:r>
        <w:rPr>
          <w:rFonts w:hint="eastAsia" w:ascii="Times New Roman" w:hAnsi="Times New Roman" w:eastAsia="宋体" w:cs="Times New Roman"/>
          <w:color w:val="000000"/>
          <w:sz w:val="24"/>
          <w:szCs w:val="24"/>
        </w:rPr>
        <w:t>不应小于l</w:t>
      </w:r>
      <w:r>
        <w:rPr>
          <w:rFonts w:hint="eastAsia" w:ascii="Times New Roman" w:hAnsi="Times New Roman" w:eastAsia="宋体" w:cs="Times New Roman"/>
          <w:color w:val="000000"/>
          <w:sz w:val="24"/>
          <w:szCs w:val="24"/>
          <w:vertAlign w:val="subscript"/>
        </w:rPr>
        <w:t>1</w:t>
      </w:r>
      <w:r>
        <w:rPr>
          <w:rFonts w:hint="eastAsia" w:ascii="Times New Roman" w:hAnsi="Times New Roman" w:eastAsia="宋体" w:cs="Times New Roman"/>
          <w:color w:val="000000"/>
          <w:sz w:val="24"/>
          <w:szCs w:val="24"/>
        </w:rPr>
        <w:t>：附加接地体的数量不应小于引下线的数量，最少为2个。</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附加接地体应在引下线的连接点处与环形接地体相连，并尽可能进行多点等距离连接。</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，对接地极的施工要求表述正确的是？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外部环形接地体（B型装置）的埋深至少为0.5m，与外墙周围相隔约1m。</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接地体（A型装置）顶部埋深至少为0.5m，并尽可能均匀分布，使土壤中的电气耦合效应最小。</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接地体的安装应便于在施工中进行检查。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接地体的类型和埋深应尽可能使腐蚀影响、土壤干燥和冰冻的影响减到最小，从而使接地电阻值保持稳定。</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，对接地极的施工要求表述正确的是？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外部环形接地体（B型装置）的埋深至少为0.5m，与外墙周围相隔约1m。</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接地体（A型装置）顶部埋深至少为0.5m，并尽可能均匀分布，使土壤中的电气耦合效应最小。</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对裸露的坚硬岩石，建议仅使用B型接地装置。</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对安装有电子系统或存在高火险的建筑物，优先采用A型接地装置。</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，LPS材料可以包括下列材料？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热镀锌钢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铝</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第5.5条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，以下LPS材料中可以在空气中使用包括哪些？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热镀锌钢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铝</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第5.5条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，以下LPS材料中可以在地下使用包括哪些？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热镀锌钢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铝</w:t>
      </w:r>
    </w:p>
    <w:p>
      <w:pPr>
        <w:pStyle w:val="8"/>
        <w:spacing w:line="400" w:lineRule="exact"/>
        <w:ind w:left="400" w:firstLine="0" w:firstLineChars="0"/>
        <w:jc w:val="left"/>
        <w:rPr>
          <w:rFonts w:ascii="Times New Roman" w:hAnsi="Times New Roman" w:eastAsia="黑体"/>
          <w:color w:val="000000"/>
          <w:sz w:val="24"/>
          <w:szCs w:val="24"/>
        </w:rPr>
      </w:pPr>
      <w:r>
        <w:rPr>
          <w:rFonts w:ascii="Times New Roman" w:hAnsi="Times New Roman" w:eastAsia="黑体"/>
          <w:color w:val="000000"/>
          <w:sz w:val="24"/>
          <w:szCs w:val="24"/>
        </w:rPr>
        <w:t>答案：</w:t>
      </w:r>
      <w:r>
        <w:rPr>
          <w:rFonts w:hint="eastAsia" w:ascii="Times New Roman" w:hAnsi="Times New Roman" w:eastAsia="黑体"/>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第5.5条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，以下LPS材料中可以在混凝土中使用包括哪些？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热镀锌钢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铝</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第5.5条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，接闪器导体、杆状接闪器、引下线的材料包括哪些？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镀锡铜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铝</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铝合金</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第5.6条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，接地体的材料包括哪些？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铝</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第5.6条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，连接排之间、连接排和接地装置之间连接导线的材料包括哪些？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不锈钢</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铝</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，内部金属装置和连接排之间连接导线的最小截面积分别是什么？ </w:t>
      </w:r>
    </w:p>
    <w:p>
      <w:pPr>
        <w:pStyle w:val="5"/>
        <w:spacing w:before="0" w:beforeAutospacing="0" w:after="0" w:afterAutospacing="0" w:line="400" w:lineRule="exact"/>
        <w:ind w:firstLine="480" w:firstLineChars="200"/>
        <w:jc w:val="both"/>
        <w:rPr>
          <w:rFonts w:ascii="Times New Roman" w:hAnsi="Times New Roman"/>
          <w:color w:val="000000"/>
        </w:rPr>
      </w:pPr>
      <w:r>
        <w:rPr>
          <w:rFonts w:ascii="Times New Roman" w:hAnsi="Times New Roman"/>
          <w:color w:val="000000"/>
        </w:rPr>
        <w:t>A.</w:t>
      </w:r>
      <w:r>
        <w:rPr>
          <w:rFonts w:hint="eastAsia" w:ascii="Times New Roman" w:hAnsi="Times New Roman"/>
          <w:color w:val="000000"/>
        </w:rPr>
        <w:t xml:space="preserve"> 5</w:t>
      </w:r>
      <w:r>
        <w:rPr>
          <w:rFonts w:ascii="Times New Roman" w:hAnsi="Times New Roman"/>
          <w:color w:val="000000"/>
        </w:rPr>
        <w:t xml:space="preserve"> mm</w:t>
      </w:r>
      <w:r>
        <w:rPr>
          <w:rFonts w:ascii="Times New Roman" w:hAnsi="Times New Roman"/>
          <w:color w:val="000000"/>
          <w:vertAlign w:val="superscript"/>
        </w:rPr>
        <w:t>2</w:t>
      </w:r>
    </w:p>
    <w:p>
      <w:pPr>
        <w:pStyle w:val="5"/>
        <w:spacing w:before="0" w:beforeAutospacing="0" w:after="0" w:afterAutospacing="0" w:line="400" w:lineRule="exact"/>
        <w:ind w:firstLine="480" w:firstLineChars="200"/>
        <w:jc w:val="both"/>
        <w:rPr>
          <w:rFonts w:ascii="Times New Roman" w:hAnsi="Times New Roman"/>
          <w:color w:val="000000"/>
        </w:rPr>
      </w:pPr>
      <w:r>
        <w:rPr>
          <w:rFonts w:ascii="Times New Roman" w:hAnsi="Times New Roman"/>
          <w:color w:val="000000"/>
        </w:rPr>
        <w:t>B.</w:t>
      </w:r>
      <w:r>
        <w:rPr>
          <w:rFonts w:hint="eastAsia" w:ascii="Times New Roman" w:hAnsi="Times New Roman"/>
          <w:color w:val="000000"/>
        </w:rPr>
        <w:t xml:space="preserve"> 8</w:t>
      </w:r>
      <w:r>
        <w:rPr>
          <w:rFonts w:ascii="Times New Roman" w:hAnsi="Times New Roman"/>
          <w:color w:val="000000"/>
        </w:rPr>
        <w:t xml:space="preserve"> mm</w:t>
      </w:r>
      <w:r>
        <w:rPr>
          <w:rFonts w:ascii="Times New Roman" w:hAnsi="Times New Roman"/>
          <w:color w:val="000000"/>
          <w:vertAlign w:val="superscript"/>
        </w:rPr>
        <w:t>2</w:t>
      </w:r>
    </w:p>
    <w:p>
      <w:pPr>
        <w:pStyle w:val="5"/>
        <w:spacing w:before="0" w:beforeAutospacing="0" w:after="0" w:afterAutospacing="0" w:line="400" w:lineRule="exact"/>
        <w:ind w:firstLine="480" w:firstLineChars="200"/>
        <w:jc w:val="both"/>
        <w:rPr>
          <w:rFonts w:ascii="Times New Roman" w:hAnsi="Times New Roman"/>
          <w:color w:val="000000"/>
        </w:rPr>
      </w:pPr>
      <w:r>
        <w:rPr>
          <w:rFonts w:ascii="Times New Roman" w:hAnsi="Times New Roman"/>
          <w:color w:val="000000"/>
        </w:rPr>
        <w:t>C.</w:t>
      </w:r>
      <w:r>
        <w:rPr>
          <w:rFonts w:hint="eastAsia" w:ascii="Times New Roman" w:hAnsi="Times New Roman"/>
          <w:color w:val="000000"/>
        </w:rPr>
        <w:t xml:space="preserve"> 16</w:t>
      </w:r>
      <w:r>
        <w:rPr>
          <w:rFonts w:ascii="Times New Roman" w:hAnsi="Times New Roman"/>
          <w:color w:val="000000"/>
        </w:rPr>
        <w:t xml:space="preserve"> mm</w:t>
      </w:r>
      <w:r>
        <w:rPr>
          <w:rFonts w:ascii="Times New Roman" w:hAnsi="Times New Roman"/>
          <w:color w:val="000000"/>
          <w:vertAlign w:val="superscript"/>
        </w:rPr>
        <w:t>2</w:t>
      </w:r>
    </w:p>
    <w:p>
      <w:pPr>
        <w:pStyle w:val="5"/>
        <w:spacing w:before="0" w:beforeAutospacing="0" w:after="0" w:afterAutospacing="0" w:line="400" w:lineRule="exact"/>
        <w:ind w:firstLine="480" w:firstLineChars="200"/>
        <w:jc w:val="both"/>
        <w:rPr>
          <w:rFonts w:ascii="Times New Roman" w:hAnsi="Times New Roman"/>
          <w:color w:val="000000"/>
        </w:rPr>
      </w:pPr>
      <w:r>
        <w:rPr>
          <w:rFonts w:ascii="Times New Roman" w:hAnsi="Times New Roman"/>
          <w:color w:val="000000"/>
        </w:rPr>
        <w:t>D.</w:t>
      </w:r>
      <w:r>
        <w:rPr>
          <w:rFonts w:hint="eastAsia" w:ascii="Times New Roman" w:hAnsi="Times New Roman"/>
          <w:color w:val="000000"/>
        </w:rPr>
        <w:t xml:space="preserve"> 25</w:t>
      </w:r>
      <w:r>
        <w:rPr>
          <w:rFonts w:ascii="Times New Roman" w:hAnsi="Times New Roman"/>
          <w:color w:val="000000"/>
        </w:rPr>
        <w:t xml:space="preserve"> mm</w:t>
      </w:r>
      <w:r>
        <w:rPr>
          <w:rFonts w:ascii="Times New Roman" w:hAnsi="Times New Roman"/>
          <w:color w:val="000000"/>
          <w:vertAlign w:val="superscript"/>
        </w:rPr>
        <w:t>2</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，外部导电部件的等电位连接的一般要求是什么？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对外部导电部件，等电位连接应尽可能在靠近建筑物入口位置实施。</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连接导线应能承受流经的部分雷电流If</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布放在金属管道内，需与屏蔽层和管道进行连接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如果不允许直接连接，则使用ISG。</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，外部LPS的电气绝缘的一般要求是什么？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对外部导电部件，等电位连接应尽可能在靠近建筑物入口位置实施。</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当线路或外部导电部件与建筑物连接时，必须保证在建筑物入口处进行等电位连接（直接相连或通过SPD相连）。</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布放在金属管道内，需与屏蔽层和管道进行连接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金属材料的建筑物或建筑物的混凝土框架电气连续、互联时，则不需考虑隔距要求。</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，采取何种防护措施可将跨步电压的危害降低到可以容许的程度？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引下线3m以内区域，人接近的概率很低且在危险区内停留的时间很短</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引下线3m以内区域，土壤表层的电阻率不小于5 kΩ•m。对外部导电部件，等电位连接应尽可能在靠近建筑物入口位置实施。</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用网状接地装置实现等电位；</w:t>
      </w:r>
      <w:r>
        <w:rPr>
          <w:rFonts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引下线附近3m范围内，给出物理限制和/或警告指示，减少接近危险区域的概率。</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，对满足以下何种条件的扁平建筑物，整个表面的保护可采用网格法？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接闪器导体处于屋顶屋檐处</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屋顶悬垂处</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当屋顶坡度超过1/10时，接闪器导体位于屋顶屋脊处</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如果屋顶坡度超过1/10，可用平行的避雷线代替网格。此时，使避雷线间的间隔不大于网格所要求的宽度</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第A.3条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 xml:space="preserve">，采用网格法时接闪器的定位要求是什么？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接闪器网络的尺寸不大于给定值；</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接闪器网络应使雷电流至少通过两条金属路径到接地装置；</w:t>
      </w:r>
      <w:r>
        <w:rPr>
          <w:rFonts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接闪器保护空间外部没有任何突出的金属装置；</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接闪器导线应尽可能短且尽可能走直线。</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第A.3条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，存储固体爆炸性材料的建筑物的防雷设计的一般要求是什么？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对储存固体爆炸性材料的建筑物，防雷设计应考虑建筑物内使用或储存材料结构上的敏感性。</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对储存固体爆炸性材料的建筑物，可采用分离的外部LPS。</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接闪器保护空间外部没有任何突出的金属装置。</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在所有存在爆炸性材料的地方，浪涌保护器（SPD）应作为LPS的一部分。</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第D.4条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，LPS电气测试要求是什么？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LPS应每隔12（+2）个月进行一次电气检查。对类似设备、车间和环境已建立的检查等级和间隔，可用来决定检查策略。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LPS的维护和检查应与在危险区域的其他电气设备的维护和检查一起进行，并加入维护计划。超过3年的定期检查间隔应根据相关信息的评估确定。</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用于测试的仪器应符合IEC 61557-4的要求。任何与LPS连接的单个物体，其直流阻值不能超过0.2 Ω。</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测试的实施，应符合测试设备制造商的说明。</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第D.6条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5《雷电防护 第3部分：建筑物的物理损坏和生命危险</w:t>
      </w:r>
      <w:r>
        <w:rPr>
          <w:rFonts w:ascii="Times New Roman" w:hAnsi="Times New Roman"/>
          <w:color w:val="000000"/>
        </w:rPr>
        <w:t>》</w:t>
      </w:r>
      <w:r>
        <w:rPr>
          <w:rFonts w:hint="eastAsia" w:ascii="Times New Roman" w:hAnsi="Times New Roman"/>
          <w:color w:val="000000"/>
        </w:rPr>
        <w:t>，LPS防腐蚀的一般要求是什么？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在钢筋连接导体穿过混凝土墙的地方，应特别考虑化学腐蚀的防护。</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最简单的防腐蚀措施是在墙体（墙体内或墙体外）出口点附近，使用50mm及以上的硅胶或沥青涂层。</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铜连接导体穿过混凝土墙的地方，如果采用实心导体、专用连接点、PVC封装或绝缘导体，则没有被腐蚀的危险。</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当使用铸入型螺套或低碳钢部件时，应注意墙体外的防腐蚀问题。应使用齿形锁紧垫圈，通过螺母的保护层来进行电气接触。</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第E.4条</w:t>
      </w:r>
    </w:p>
    <w:p>
      <w:pPr>
        <w:pStyle w:val="5"/>
        <w:numPr>
          <w:ilvl w:val="0"/>
          <w:numId w:val="6"/>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olor w:val="000000"/>
        </w:rPr>
        <w:t>，SPM的设计和安装的一般要求是什么？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SPM的设计应由雷电和浪涌保护的专业人员完成，这些专业人员拥有广泛的电磁兼容（EMC）知识和安装实践经验。</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对LEMP的防护基于雷电防护区（LPZ）的概念：包含被保护系统的空间可划分成若干个LPZ。这些区域是理论上指定的空间（或内部系统）的一部分，某空间的LEMP严重程度和该空间的内部系统的耐受水平相匹配。</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根据LEMP强度的显著变化划分相继的区域。</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LPZ的边界由采用的屏蔽措施来定义。</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第4.1条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，对LEMP 的基本防护措施包括什么？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接闪器</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接地和搭接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磁屏蔽和布线</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协调配合的SPD防护</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第4.4条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，哪些情况应接到连接排上？</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所有导电设施进入LPZ（直接或者通过合适的SPD进行连接）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保护地线PE</w:t>
      </w:r>
      <w:r>
        <w:rPr>
          <w:rFonts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内部系统的金属部件（如机柜，机箱和机架）</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建筑物外表面或者内部的磁屏蔽</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，为了实现有效的接地，应遵守什么安装原则？</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所有搭接措施的基础条件是一个低阻抗的搭接网络</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搭接母排通过尽可能短的路径连接到接地系统（连接导体长度小于0.5m）</w:t>
      </w:r>
      <w:r>
        <w:rPr>
          <w:rFonts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搭接母排和导体的材料及尺寸必须遵守本部分的</w:t>
      </w:r>
      <w:r>
        <w:rPr>
          <w:rFonts w:ascii="Times New Roman" w:hAnsi="Times New Roman" w:eastAsia="宋体" w:cs="Times New Roman"/>
          <w:color w:val="000000"/>
          <w:sz w:val="24"/>
          <w:szCs w:val="24"/>
        </w:rPr>
        <w:t>GB</w:t>
      </w:r>
      <w:r>
        <w:rPr>
          <w:rFonts w:hint="eastAsia" w:ascii="Times New Roman" w:hAnsi="Times New Roman" w:eastAsia="宋体" w:cs="Times New Roman"/>
          <w:color w:val="000000"/>
          <w:sz w:val="24"/>
          <w:szCs w:val="24"/>
        </w:rPr>
        <w:t>/T</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21714.3</w:t>
      </w:r>
      <w:r>
        <w:rPr>
          <w:rFonts w:ascii="Times New Roman" w:hAnsi="Times New Roman" w:eastAsia="宋体" w:cs="Times New Roman"/>
          <w:color w:val="000000"/>
          <w:sz w:val="24"/>
          <w:szCs w:val="24"/>
        </w:rPr>
        <w:t>-201</w:t>
      </w:r>
      <w:r>
        <w:rPr>
          <w:rFonts w:hint="eastAsia" w:ascii="Times New Roman" w:hAnsi="Times New Roman" w:eastAsia="宋体" w:cs="Times New Roman"/>
          <w:color w:val="000000"/>
          <w:sz w:val="24"/>
          <w:szCs w:val="24"/>
        </w:rPr>
        <w:t>5的5.5节的要求</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SPD与搭接母排和带电导体之间的连接线必须尽可能短，从而使感应电压降最小化。位于SPD后级的被保护电路，应当尽可能减小回路面积或者使用屏蔽电缆或电缆管道，从而使互感降到最低。</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第5.4条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，LPZ边界处接地的一般要求是什么？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在定义了LPZ的区域，所有金属部件和设施（例如金属管道、电力线或信号线）在穿越LPZ边界时必须搭接。（对进入LPZ1区域的设施进行搭接时，应当与设施网络提供部门（如电力和电信主管部门）进行协商，因为有可能与这些部门的要求存在冲突。）</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搭接应当通过搭接母排完成，安装点应尽可能靠近LPZ边界上的入口处。</w:t>
      </w:r>
      <w:r>
        <w:rPr>
          <w:rFonts w:ascii="Times New Roman" w:hAnsi="Times New Roman" w:eastAsia="宋体" w:cs="Times New Roman"/>
          <w:color w:val="000000"/>
          <w:sz w:val="24"/>
          <w:szCs w:val="24"/>
        </w:rPr>
        <w:t xml:space="preserve"> </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如果可能的话，所有接入设施应该在同一位置进入LPZ，并连接到同一搭接母排上。如果设施通过不同位置进入LPZ，则每一个设施都应当连接到搭接母排，并且所有的搭接母排应当连接到一起。为此，建议采用环形搭接母排。</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SPD与搭接母排和带电导体之间的连接线必须尽可能短，从而使感应电压降最小化。位于SPD后级的被保护电路，应当尽可能减小回路面积或者使用屏蔽电缆或电缆管道，从而使互感降到最低。</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第5.5条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，SPM检查检查的目的是什么？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SPM与设计一致。</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SPM达到设计性能；</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任何新加的防护措施正确地整合到了SPM中</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与LEMP协调一致</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第9.3条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，SPM检查的时期是什么？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在SPM的安装过程中</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SPM安装完成后；</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定期检查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当与SPM相关的部件变化后或建筑物可能遭受雷击后</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第9.3条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，SPM定期检查的频率由什么决定？</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定期检查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当地的环境，比如腐蚀性土壤和腐蚀性大气环境</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采用的防护措施的类型</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当与SPM相关的部件变化后或建筑物可能遭受雷击后</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第9.3条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，既有建筑物内安装SPM的一般要求是什么？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设计过程的第一步是完成项目清单和做风险评估。如果分析结果显示需要安装SPM，则按照相关步骤进行。</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所有的需保护设备均构建合适的LPZ。</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SPM的基本部分是内部屏蔽和搭接网络。搭接网络的网格宽度要求在任何方向均不能超过5m, 如果建筑物外墙不允许安装屏蔽和搭接网络，则至少应在建筑物每层的外墙安装一环形导体，该导体应当与外部LPS的每条引下线相连。</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当已有防护措施的建筑物内安装新的内部系统时，应重新设计内部系统的位置。</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第B.3条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，协调配合SPD系统的设计步骤是什么？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协调配合SPD系统的设计用来保护不同的LPZ边界的线缆。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设计额外措施将会通过等电位连接和SPD系统提高防护能力。</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电缆托架、电缆梯以及类似结构的设计考虑其上面或内部以适合的屏蔽来改善电缆运行。</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如果可能，附加措施（例如墙，底板，天花板等等的屏蔽）应当考虑已有部分的附加防护。防护措施设计应加强防护建筑物和其他建筑物之间的互连。当已有防护措施的建筑物内安装新的内部系统时，应重新设计内部系统的位置。</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第B.5条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，以下那种情况需要用隔离界面进行防护？</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II级</w:t>
      </w:r>
      <w:r>
        <w:rPr>
          <w:rFonts w:hint="eastAsia" w:ascii="Times New Roman" w:hAnsi="Times New Roman" w:eastAsia="宋体" w:cs="Times New Roman"/>
          <w:color w:val="000000"/>
          <w:sz w:val="24"/>
          <w:szCs w:val="24"/>
        </w:rPr>
        <w:t>隔离</w:t>
      </w:r>
      <w:r>
        <w:rPr>
          <w:rFonts w:ascii="Times New Roman" w:hAnsi="Times New Roman" w:eastAsia="宋体" w:cs="Times New Roman"/>
          <w:color w:val="000000"/>
          <w:sz w:val="24"/>
          <w:szCs w:val="24"/>
        </w:rPr>
        <w:t>设备（即无PE线的双重隔离）</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绝缘变压器</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无金属光缆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光电耦合器</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第B.10条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w:t>
      </w:r>
      <w:r>
        <w:rPr>
          <w:rFonts w:ascii="Times New Roman" w:hAnsi="Times New Roman"/>
          <w:color w:val="000000"/>
        </w:rPr>
        <w:t>降低感应过压的</w:t>
      </w:r>
      <w:r>
        <w:rPr>
          <w:rFonts w:hint="eastAsia" w:ascii="Times New Roman" w:hAnsi="Times New Roman"/>
          <w:color w:val="000000"/>
        </w:rPr>
        <w:t>改进</w:t>
      </w:r>
      <w:r>
        <w:rPr>
          <w:rFonts w:ascii="Times New Roman" w:hAnsi="Times New Roman"/>
          <w:color w:val="000000"/>
        </w:rPr>
        <w:t>措施</w:t>
      </w:r>
      <w:r>
        <w:rPr>
          <w:rFonts w:hint="eastAsia" w:ascii="Times New Roman" w:hAnsi="Times New Roman"/>
          <w:color w:val="000000"/>
        </w:rPr>
        <w:t>有哪些</w:t>
      </w:r>
      <w:r>
        <w:rPr>
          <w:rFonts w:hint="eastAsia" w:ascii="Times New Roman" w:hAnsi="Times New Roman" w:cs="Times New Roman"/>
          <w:color w:val="000000"/>
        </w:rPr>
        <w:t>？</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减小感应回路的面积</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应当避免采用现有工频电源给新设备供电，因为它增大了封闭感应回路面积，大大</w:t>
      </w:r>
      <w:r>
        <w:rPr>
          <w:rFonts w:hint="eastAsia" w:ascii="Times New Roman" w:hAnsi="Times New Roman" w:eastAsia="宋体" w:cs="Times New Roman"/>
          <w:color w:val="000000"/>
          <w:sz w:val="24"/>
          <w:szCs w:val="24"/>
        </w:rPr>
        <w:t>地</w:t>
      </w:r>
      <w:r>
        <w:rPr>
          <w:rFonts w:ascii="Times New Roman" w:hAnsi="Times New Roman" w:eastAsia="宋体" w:cs="Times New Roman"/>
          <w:color w:val="000000"/>
          <w:sz w:val="24"/>
          <w:szCs w:val="24"/>
        </w:rPr>
        <w:t>增加了绝缘损害的风险</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同时，将电源线和信号线靠近布放可以避免产生大的回路</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采用屏蔽电缆</w:t>
      </w:r>
      <w:r>
        <w:rPr>
          <w:rFonts w:hint="eastAsia" w:ascii="Times New Roman" w:hAnsi="Times New Roman" w:eastAsia="宋体" w:cs="Times New Roman"/>
          <w:color w:val="000000"/>
          <w:sz w:val="24"/>
          <w:szCs w:val="24"/>
        </w:rPr>
        <w:t>，并</w:t>
      </w:r>
      <w:r>
        <w:rPr>
          <w:rFonts w:ascii="Times New Roman" w:hAnsi="Times New Roman" w:eastAsia="宋体" w:cs="Times New Roman"/>
          <w:color w:val="000000"/>
          <w:sz w:val="24"/>
          <w:szCs w:val="24"/>
        </w:rPr>
        <w:t>至少在一端</w:t>
      </w:r>
      <w:r>
        <w:rPr>
          <w:rFonts w:hint="eastAsia" w:ascii="Times New Roman" w:hAnsi="Times New Roman" w:eastAsia="宋体" w:cs="Times New Roman"/>
          <w:color w:val="000000"/>
          <w:sz w:val="24"/>
          <w:szCs w:val="24"/>
        </w:rPr>
        <w:t>进行搭接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使用金属电缆管</w:t>
      </w:r>
      <w:r>
        <w:rPr>
          <w:rFonts w:hint="eastAsia" w:ascii="Times New Roman" w:hAnsi="Times New Roman" w:eastAsia="宋体" w:cs="Times New Roman"/>
          <w:color w:val="000000"/>
          <w:sz w:val="24"/>
          <w:szCs w:val="24"/>
        </w:rPr>
        <w:t>道</w:t>
      </w:r>
      <w:r>
        <w:rPr>
          <w:rFonts w:ascii="Times New Roman" w:hAnsi="Times New Roman" w:eastAsia="宋体" w:cs="Times New Roman"/>
          <w:color w:val="000000"/>
          <w:sz w:val="24"/>
          <w:szCs w:val="24"/>
        </w:rPr>
        <w:t>或接地的金属</w:t>
      </w:r>
      <w:r>
        <w:rPr>
          <w:rFonts w:hint="eastAsia" w:ascii="Times New Roman" w:hAnsi="Times New Roman" w:eastAsia="宋体" w:cs="Times New Roman"/>
          <w:color w:val="000000"/>
          <w:sz w:val="24"/>
          <w:szCs w:val="24"/>
        </w:rPr>
        <w:t>平板，</w:t>
      </w:r>
      <w:r>
        <w:rPr>
          <w:rFonts w:ascii="Times New Roman" w:hAnsi="Times New Roman" w:eastAsia="宋体" w:cs="Times New Roman"/>
          <w:color w:val="000000"/>
          <w:sz w:val="24"/>
          <w:szCs w:val="24"/>
        </w:rPr>
        <w:t>分离的金属</w:t>
      </w:r>
      <w:r>
        <w:rPr>
          <w:rFonts w:hint="eastAsia" w:ascii="Times New Roman" w:hAnsi="Times New Roman" w:eastAsia="宋体" w:cs="Times New Roman"/>
          <w:color w:val="000000"/>
          <w:sz w:val="24"/>
          <w:szCs w:val="24"/>
        </w:rPr>
        <w:t>部件</w:t>
      </w:r>
      <w:r>
        <w:rPr>
          <w:rFonts w:ascii="Times New Roman" w:hAnsi="Times New Roman" w:eastAsia="宋体" w:cs="Times New Roman"/>
          <w:color w:val="000000"/>
          <w:sz w:val="24"/>
          <w:szCs w:val="24"/>
        </w:rPr>
        <w:t>应保持电气上的</w:t>
      </w:r>
      <w:r>
        <w:rPr>
          <w:rFonts w:hint="eastAsia" w:ascii="Times New Roman" w:hAnsi="Times New Roman" w:eastAsia="宋体" w:cs="Times New Roman"/>
          <w:color w:val="000000"/>
          <w:sz w:val="24"/>
          <w:szCs w:val="24"/>
        </w:rPr>
        <w:t>良好连通；</w:t>
      </w:r>
      <w:r>
        <w:rPr>
          <w:rFonts w:ascii="Times New Roman" w:hAnsi="Times New Roman" w:eastAsia="宋体" w:cs="Times New Roman"/>
          <w:color w:val="000000"/>
          <w:sz w:val="24"/>
          <w:szCs w:val="24"/>
        </w:rPr>
        <w:t>连接应该采用螺栓紧固金属重叠部分或采用</w:t>
      </w:r>
      <w:r>
        <w:rPr>
          <w:rFonts w:hint="eastAsia" w:ascii="Times New Roman" w:hAnsi="Times New Roman" w:eastAsia="宋体" w:cs="Times New Roman"/>
          <w:color w:val="000000"/>
          <w:sz w:val="24"/>
          <w:szCs w:val="24"/>
        </w:rPr>
        <w:t>搭接</w:t>
      </w:r>
      <w:r>
        <w:rPr>
          <w:rFonts w:ascii="Times New Roman" w:hAnsi="Times New Roman" w:eastAsia="宋体" w:cs="Times New Roman"/>
          <w:color w:val="000000"/>
          <w:sz w:val="24"/>
          <w:szCs w:val="24"/>
        </w:rPr>
        <w:t>导体的方式来实现</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为使电缆管</w:t>
      </w:r>
      <w:r>
        <w:rPr>
          <w:rFonts w:hint="eastAsia" w:ascii="Times New Roman" w:hAnsi="Times New Roman" w:eastAsia="宋体" w:cs="Times New Roman"/>
          <w:color w:val="000000"/>
          <w:sz w:val="24"/>
          <w:szCs w:val="24"/>
        </w:rPr>
        <w:t>道</w:t>
      </w:r>
      <w:r>
        <w:rPr>
          <w:rFonts w:ascii="Times New Roman" w:hAnsi="Times New Roman" w:eastAsia="宋体" w:cs="Times New Roman"/>
          <w:color w:val="000000"/>
          <w:sz w:val="24"/>
          <w:szCs w:val="24"/>
        </w:rPr>
        <w:t>保持低阻抗，应当在电缆管</w:t>
      </w:r>
      <w:r>
        <w:rPr>
          <w:rFonts w:hint="eastAsia" w:ascii="Times New Roman" w:hAnsi="Times New Roman" w:eastAsia="宋体" w:cs="Times New Roman"/>
          <w:color w:val="000000"/>
          <w:sz w:val="24"/>
          <w:szCs w:val="24"/>
        </w:rPr>
        <w:t>道</w:t>
      </w:r>
      <w:r>
        <w:rPr>
          <w:rFonts w:ascii="Times New Roman" w:hAnsi="Times New Roman" w:eastAsia="宋体" w:cs="Times New Roman"/>
          <w:color w:val="000000"/>
          <w:sz w:val="24"/>
          <w:szCs w:val="24"/>
        </w:rPr>
        <w:t>周围重叠缠绕螺旋形钢</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第B.11条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，外部安装设备的防护措施</w:t>
      </w:r>
      <w:r>
        <w:rPr>
          <w:rFonts w:hint="eastAsia" w:ascii="Times New Roman" w:hAnsi="Times New Roman"/>
          <w:color w:val="000000"/>
        </w:rPr>
        <w:t>有哪些</w:t>
      </w:r>
      <w:r>
        <w:rPr>
          <w:rFonts w:hint="eastAsia" w:ascii="Times New Roman" w:hAnsi="Times New Roman" w:cs="Times New Roman"/>
          <w:color w:val="000000"/>
        </w:rPr>
        <w:t>？</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只要有可能，就必须将设备置于雷电防护区域（LPZ 0B）的保护范围内</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在高大建筑上，应当用滚球法确定建筑物顶部与侧面的设备是否会遭到直接雷击；若有遭到直接雷击的可能，应当另行安装避雷针接闪器。</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同时应减小电缆中的过电压。</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采用屏蔽电缆</w:t>
      </w:r>
      <w:r>
        <w:rPr>
          <w:rFonts w:hint="eastAsia" w:ascii="Times New Roman" w:hAnsi="Times New Roman" w:eastAsia="宋体" w:cs="Times New Roman"/>
          <w:color w:val="000000"/>
          <w:sz w:val="24"/>
          <w:szCs w:val="24"/>
        </w:rPr>
        <w:t>，并</w:t>
      </w:r>
      <w:r>
        <w:rPr>
          <w:rFonts w:ascii="Times New Roman" w:hAnsi="Times New Roman" w:eastAsia="宋体" w:cs="Times New Roman"/>
          <w:color w:val="000000"/>
          <w:sz w:val="24"/>
          <w:szCs w:val="24"/>
        </w:rPr>
        <w:t>至少在一端</w:t>
      </w:r>
      <w:r>
        <w:rPr>
          <w:rFonts w:hint="eastAsia" w:ascii="Times New Roman" w:hAnsi="Times New Roman" w:eastAsia="宋体" w:cs="Times New Roman"/>
          <w:color w:val="000000"/>
          <w:sz w:val="24"/>
          <w:szCs w:val="24"/>
        </w:rPr>
        <w:t>进行搭接。</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第B.12条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，连</w:t>
      </w:r>
      <w:r>
        <w:rPr>
          <w:rFonts w:hint="eastAsia" w:ascii="Times New Roman" w:hAnsi="Times New Roman"/>
          <w:color w:val="000000"/>
        </w:rPr>
        <w:t>接独立建筑间的线路有哪些</w:t>
      </w:r>
      <w:r>
        <w:rPr>
          <w:rFonts w:hint="eastAsia" w:ascii="Times New Roman" w:hAnsi="Times New Roman" w:cs="Times New Roman"/>
          <w:color w:val="000000"/>
        </w:rPr>
        <w:t>？</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绝缘线（无金属屏蔽的光缆）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金属线（例如导线组、多芯线、波导管、同轴电缆，也包括有连续金属部件的光缆）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接闪带</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接地装置</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第B.13条</w:t>
      </w:r>
    </w:p>
    <w:p>
      <w:pPr>
        <w:pStyle w:val="5"/>
        <w:numPr>
          <w:ilvl w:val="0"/>
          <w:numId w:val="6"/>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，建筑物之间互连的改进措施有哪些？</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连接独立建筑间的线路有下列两种：绝缘线（无金属屏蔽的光缆），或金属线（例如导线组、多芯线、波导管、同轴电缆，也包括有连续金属部件的光缆）。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防护要求取决于线路的类型、线路的数目、建筑物间的接地装置是否互相连接。</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两个独立建筑物各自的LPZ1直接或通过进线入口处SPD进行搭接，只能保护该区内部的设备，而线路外部仍处于无防护状态；增设一路并行的搭接保护线可以保护线路，雷电流将在线路和这一搭接导体之间分摊；建议将线路敷设在密封而互连的金属管道内，这样线路和设备都得到保护。</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独立建筑物的接地装置恰当互连时，仍建议用互连的电缆管道保护线路。当互连建筑之间有许多电缆时，若电缆的屏蔽层或铠装在两端都做了搭接，则可用其代替电缆管道。</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21714.4</w:t>
      </w:r>
      <w:r>
        <w:rPr>
          <w:rFonts w:ascii="Times New Roman" w:hAnsi="Times New Roman"/>
          <w:color w:val="000000"/>
          <w:sz w:val="24"/>
          <w:szCs w:val="24"/>
        </w:rPr>
        <w:t>-201</w:t>
      </w:r>
      <w:r>
        <w:rPr>
          <w:rFonts w:hint="eastAsia" w:ascii="Times New Roman" w:hAnsi="Times New Roman"/>
          <w:color w:val="000000"/>
          <w:sz w:val="24"/>
          <w:szCs w:val="24"/>
        </w:rPr>
        <w:t>5《雷电防护 第4部分：建筑物的物理损坏和生命危险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第B.13条</w:t>
      </w:r>
    </w:p>
    <w:p>
      <w:pPr>
        <w:numPr>
          <w:numId w:val="0"/>
        </w:numPr>
        <w:ind w:leftChars="0"/>
        <w:rPr>
          <w:rFonts w:hint="default" w:ascii="黑体" w:hAnsi="黑体" w:eastAsia="黑体" w:cs="黑体"/>
          <w:sz w:val="28"/>
          <w:szCs w:val="36"/>
          <w:lang w:val="en-US" w:eastAsia="zh-CN"/>
        </w:rPr>
      </w:pPr>
    </w:p>
    <w:p>
      <w:pPr>
        <w:numPr>
          <w:ilvl w:val="0"/>
          <w:numId w:val="7"/>
        </w:numPr>
        <w:ind w:left="420" w:leftChars="0" w:firstLine="0" w:firstLineChars="0"/>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判断题</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落地雷闪是云地间的大气放电, 由一个雷击组成。（</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下行雷是</w:t>
      </w:r>
      <w:r>
        <w:rPr>
          <w:rFonts w:hint="eastAsia"/>
        </w:rPr>
        <w:t>始于云到地一个向下先导的雷闪。</w:t>
      </w:r>
      <w:r>
        <w:rPr>
          <w:rFonts w:hint="eastAsia" w:ascii="Times New Roman" w:hAnsi="Times New Roman" w:cs="Times New Roman"/>
          <w:color w:val="000000"/>
        </w:rPr>
        <w:t>（</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上行雷是始于地面建筑物到云端一个向上先导的雷闪。（</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雷击是落地雷闪中的多次放电。（</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短雷击是雷闪的组成部分，它对应于一个连续电流。（</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长雷击是雷闪的组成部分，它对应于一个连续电流。（</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多重雷击是平均由3～4个雷击组成的雷闪，两个雷击的时间间隔通常约为100ms。（</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雷电击中大地或高耸物体（如建筑物、LPS、服务设施、树等）的点是雷击点。（</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雷电流是流经雷击点的电流。（</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雷电流的最小值是峰值。（</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短雷击电流波头的平均陡度是数值上小于在时间间隔t2-t1内雷电流的平均变化率。（</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短雷击电流的波头时间是一个虚拟参数，定义为雷电流波头达到10%峰值到90%峰值时间间隔的1.25倍。（</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短雷击电流的视在原点是连接雷电流波头30%和95%峰值两参考点的直线与时间轴的交点。它位于雷电流达到15%峰值时刻之前0.1T1处。（</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短雷击电流的半值时间是一个实际参数，定义为视在原点O1到雷电流下降至峰值一半时的时间间隔。（</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雷电流流过雷击点的时间是雷闪持续时间（</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长雷击电流的持续时间是连续电流在上升沿升到峰值的20%时至下降沿连续电流降到峰值20%时的时间间隔。（</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雷闪电荷是整个雷闪持续期间雷电流的平方对时间的积分。（</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短雷击电荷是一次短雷击中雷电流对时间的积分（</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长时雷击的电荷是一次长雷击中雷电流的平方对时间的积分。（</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第1部分：总则》第3.19条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单位能量是雷电流的平方在整个雷闪持续期内对时间的积分。（</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短雷击电流的单位能量是雷电流在短雷击持续期内的时间积分。（</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被保护的建筑物是为防御雷电影响而需要保护的建筑物。（</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线路是连接到被保护建筑物的通信线。（</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多个独立建筑物中设备之间的通信线不包括电话线和数据线。（</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电源线是输送电能到建筑物使其内部电气和电子设备运行的配电线路，例如低压（LV）或高压（LV）电源干线。（</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击中建筑物的雷闪是击中被保护建筑物附近且可能对被保护建筑物产生危险过电压的雷闪。（</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击中建筑物附近的雷闪是指击中被保护建筑物附近且可能对被保护建筑物产生危险过电压的雷闪。（</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第1部分：总则》第3.27条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物理损害：由于雷电的机械、热、化学或爆炸等效应对建筑物（或其内物体）所造成的损害。（</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人和动物的伤害是雷电引起的接触电压和跨步电压对人和动物的伤害, 不包括死亡。（</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由于雷电电磁脉冲（LEMP）导致电气和电子系统的暂时性损害称为电气和电子系统的失效。（</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雷电电磁脉冲是指雷电流经电阻、电感和电容耦合形成的电磁效应，它产生浪涌和辐射电磁场。（</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风险是雷电造成的年均可能损失（人员和货物）与受保护对象的总价值（人员和货物）之差。（</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风险容限是指受保护对象所能容许的最小风险值。（</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雷电防护水平是与一组雷电流参数值有关的序数，该组参数值与在自然界发生雷电时最大和最小设计值不被超出的概率有关。（</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防雷措施是为减小受保护对象雷电损害风险而采取的措施。（</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第1部分：总则》第3.39条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防雷系统是用来减小雷击建筑物造成物理损害的整个系统。（</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left="-420" w:leftChars="-20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雷电防护是用于减小受保护对象雷电损害风险的整个系统，包括建筑物内部系统和物体、人员，一般由LPS和SPM组成。（</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left="-420" w:leftChars="-200"/>
        <w:rPr>
          <w:rFonts w:ascii="Times New Roman" w:hAnsi="Times New Roman" w:cs="Times New Roman"/>
          <w:color w:val="000000"/>
        </w:rPr>
      </w:pPr>
      <w:r>
        <w:rPr>
          <w:rFonts w:hint="eastAsia" w:ascii="Times New Roman" w:hAnsi="Times New Roman" w:cs="Times New Roman"/>
          <w:color w:val="000000"/>
        </w:rPr>
        <w:t xml:space="preserve">       </w:t>
      </w: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接闪器系统是内部LPS组成部分，用金属部件，如避雷针、避雷网或避雷线构成，用于接闪。（</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引下线系统是外部LPS组成部分，用来把雷电流从接闪器系统引至接地体系统。（</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接地体系统是内部LPS的组成部分，用于把雷电流引导并散入大地。（</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外部导电部件是进出受保护建筑物的金属延伸部件，如管道、电缆金属部件、金属线槽等，它们不可以流过部分雷电流。（</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雷电等电位连接是为减少雷电流引起的电位差，直接用导体或通过浪涌保护器把分离的金属部件连接到LPS上的一种防雷措施。（</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w:t>
      </w:r>
      <w:r>
        <w:rPr>
          <w:rFonts w:hint="eastAsia" w:ascii="Times New Roman" w:hAnsi="Times New Roman" w:cs="Times New Roman"/>
          <w:color w:val="000000"/>
        </w:rPr>
        <w:t>GB/T 21714.1-2015《雷电防护 第1部分：总则》第3.47条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磁屏蔽是可以完全阻止电气和电子系统的失效，包围受保护对象或其一部分的格栅或连续型的闭合金属屏蔽体。（</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能量配合的SPD防护系统</w:t>
      </w:r>
      <w:r>
        <w:rPr>
          <w:rFonts w:hint="eastAsia" w:ascii="Times New Roman" w:hAnsi="Times New Roman" w:cs="Times New Roman"/>
          <w:color w:val="000000"/>
        </w:rPr>
        <w:t>是为了减少电气和电子系统失效而适当选择、能量配合并装配起来的一组SPD。（</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额定冲击耐受电压</w:t>
      </w:r>
      <w:r>
        <w:rPr>
          <w:rFonts w:hint="eastAsia" w:ascii="Times New Roman" w:hAnsi="Times New Roman" w:cs="Times New Roman"/>
          <w:color w:val="000000"/>
        </w:rPr>
        <w:t>是由厂家给设备或其部件指定的冲击耐受电压，用以表征其绝缘对过电压的规定耐受能力。（</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协调配合的SPD系统</w:t>
      </w:r>
      <w:r>
        <w:rPr>
          <w:rFonts w:hint="eastAsia" w:ascii="Times New Roman" w:hAnsi="Times New Roman" w:cs="Times New Roman"/>
          <w:color w:val="000000"/>
        </w:rPr>
        <w:t>是为了减少电气和电子系统的失效而适当选择、能量配合并装配起来组成系统的SPD。（</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额定冲击耐受电压</w:t>
      </w:r>
      <w:r>
        <w:rPr>
          <w:rFonts w:hint="eastAsia" w:ascii="Times New Roman" w:hAnsi="Times New Roman" w:cs="Times New Roman"/>
          <w:color w:val="000000"/>
        </w:rPr>
        <w:t>是由厂家给设备或其部件指定的冲击耐受电压，用以表征其绝缘对过电压的规定耐受能力。（</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隔离界面</w:t>
      </w:r>
      <w:r>
        <w:rPr>
          <w:rFonts w:hint="eastAsia" w:ascii="Times New Roman" w:hAnsi="Times New Roman" w:cs="Times New Roman"/>
          <w:color w:val="000000"/>
        </w:rPr>
        <w:t>是能够增加进入LPZ的线路中传导浪涌的装置。（</w:t>
      </w:r>
      <w:r>
        <w:rPr>
          <w:rFonts w:ascii="Arial" w:hAnsi="Arial" w:cs="Arial"/>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hint="eastAsia" w:ascii="Times New Roman" w:hAnsi="Times New Roman" w:cs="Times New Roman"/>
          <w:color w:val="000000"/>
        </w:rPr>
        <w:t>GB/T 21714.1-2015《雷电防护 第1部分：总则》第3.56条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雷电防护系统</w:t>
      </w:r>
      <w:r>
        <w:rPr>
          <w:rFonts w:hint="eastAsia" w:ascii="Times New Roman" w:hAnsi="Times New Roman" w:cs="Times New Roman"/>
          <w:color w:val="000000"/>
        </w:rPr>
        <w:t>是</w:t>
      </w:r>
      <w:r>
        <w:rPr>
          <w:rFonts w:ascii="Times New Roman" w:hAnsi="Times New Roman" w:cs="Times New Roman"/>
          <w:color w:val="000000"/>
        </w:rPr>
        <w:t>用以减少</w:t>
      </w:r>
      <w:r>
        <w:rPr>
          <w:rFonts w:hint="eastAsia" w:ascii="Times New Roman" w:hAnsi="Times New Roman" w:cs="Times New Roman"/>
          <w:color w:val="000000"/>
        </w:rPr>
        <w:t>人</w:t>
      </w:r>
      <w:r>
        <w:rPr>
          <w:rFonts w:ascii="Times New Roman" w:hAnsi="Times New Roman" w:cs="Times New Roman"/>
          <w:color w:val="000000"/>
        </w:rPr>
        <w:t>因雷击</w:t>
      </w:r>
      <w:r>
        <w:rPr>
          <w:rFonts w:hint="eastAsia" w:ascii="Times New Roman" w:hAnsi="Times New Roman" w:cs="Times New Roman"/>
          <w:color w:val="000000"/>
        </w:rPr>
        <w:t>引起伤害</w:t>
      </w:r>
      <w:r>
        <w:rPr>
          <w:rFonts w:ascii="Times New Roman" w:hAnsi="Times New Roman" w:cs="Times New Roman"/>
          <w:color w:val="000000"/>
        </w:rPr>
        <w:t>的</w:t>
      </w:r>
      <w:r>
        <w:rPr>
          <w:rFonts w:hint="eastAsia" w:ascii="Times New Roman" w:hAnsi="Times New Roman" w:cs="Times New Roman"/>
          <w:color w:val="000000"/>
        </w:rPr>
        <w:t>整</w:t>
      </w:r>
      <w:r>
        <w:rPr>
          <w:rFonts w:ascii="Times New Roman" w:hAnsi="Times New Roman" w:cs="Times New Roman"/>
          <w:color w:val="000000"/>
        </w:rPr>
        <w:t>套</w:t>
      </w:r>
      <w:r>
        <w:rPr>
          <w:rFonts w:hint="eastAsia" w:ascii="Times New Roman" w:hAnsi="Times New Roman" w:cs="Times New Roman"/>
          <w:color w:val="000000"/>
        </w:rPr>
        <w:t>系统</w:t>
      </w:r>
      <w:r>
        <w:rPr>
          <w:rFonts w:ascii="Times New Roman" w:hAnsi="Times New Roman" w:cs="Times New Roman"/>
          <w:color w:val="000000"/>
        </w:rPr>
        <w:t>。</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外部防雷装置是LPS的一部分，由接闪器、接地装置组成。（</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与受保护建筑物分离的外部LPS是由接闪器和引下线组成的LPS，其安装位置使雷电流通道与受保护建筑物没有任何接触。（</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受保护建筑物</w:t>
      </w:r>
      <w:r>
        <w:rPr>
          <w:rFonts w:hint="eastAsia" w:ascii="Times New Roman" w:hAnsi="Times New Roman" w:cs="Times New Roman"/>
          <w:color w:val="000000"/>
        </w:rPr>
        <w:t>非</w:t>
      </w:r>
      <w:r>
        <w:rPr>
          <w:rFonts w:ascii="Times New Roman" w:hAnsi="Times New Roman" w:cs="Times New Roman"/>
          <w:color w:val="000000"/>
        </w:rPr>
        <w:t>分离的外部</w:t>
      </w:r>
      <w:r>
        <w:rPr>
          <w:rFonts w:hint="eastAsia" w:ascii="Times New Roman" w:hAnsi="Times New Roman" w:cs="Times New Roman"/>
          <w:color w:val="000000"/>
        </w:rPr>
        <w:t>LPS是由接闪器和引下线组成的LPS电气绝缘组成。（</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内部防雷装置</w:t>
      </w:r>
      <w:r>
        <w:rPr>
          <w:rFonts w:hint="eastAsia" w:ascii="Times New Roman" w:hAnsi="Times New Roman" w:cs="Times New Roman"/>
          <w:color w:val="000000"/>
        </w:rPr>
        <w:t>是由雷电等电位连接和内部LPS电气绝缘组成。（</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接闪器</w:t>
      </w:r>
      <w:r>
        <w:rPr>
          <w:rFonts w:hint="eastAsia" w:ascii="Times New Roman" w:hAnsi="Times New Roman" w:cs="Times New Roman"/>
          <w:color w:val="000000"/>
        </w:rPr>
        <w:t>是</w:t>
      </w:r>
      <w:r>
        <w:rPr>
          <w:rFonts w:ascii="Times New Roman" w:hAnsi="Times New Roman" w:cs="Times New Roman"/>
          <w:color w:val="000000"/>
        </w:rPr>
        <w:t>外部</w:t>
      </w:r>
      <w:r>
        <w:rPr>
          <w:rFonts w:hint="eastAsia" w:ascii="Times New Roman" w:hAnsi="Times New Roman" w:cs="Times New Roman"/>
          <w:color w:val="000000"/>
        </w:rPr>
        <w:t>LPS</w:t>
      </w:r>
      <w:r>
        <w:rPr>
          <w:rFonts w:ascii="Times New Roman" w:hAnsi="Times New Roman" w:cs="Times New Roman"/>
          <w:color w:val="000000"/>
        </w:rPr>
        <w:t>的一部分，</w:t>
      </w:r>
      <w:r>
        <w:rPr>
          <w:rFonts w:hint="eastAsia" w:ascii="Times New Roman" w:hAnsi="Times New Roman" w:cs="Times New Roman"/>
          <w:color w:val="000000"/>
        </w:rPr>
        <w:t>用于</w:t>
      </w:r>
      <w:r>
        <w:rPr>
          <w:rFonts w:ascii="Times New Roman" w:hAnsi="Times New Roman" w:cs="Times New Roman"/>
          <w:color w:val="000000"/>
        </w:rPr>
        <w:t>截</w:t>
      </w:r>
      <w:r>
        <w:rPr>
          <w:rFonts w:hint="eastAsia" w:ascii="Times New Roman" w:hAnsi="Times New Roman" w:cs="Times New Roman"/>
          <w:color w:val="000000"/>
        </w:rPr>
        <w:t>收雷击的金属构件，如杆状接闪器、网格导线或悬链线。（</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引下线</w:t>
      </w:r>
      <w:r>
        <w:rPr>
          <w:rFonts w:hint="eastAsia" w:ascii="Times New Roman" w:hAnsi="Times New Roman" w:cs="Times New Roman"/>
          <w:color w:val="000000"/>
        </w:rPr>
        <w:t>是内部LPS</w:t>
      </w:r>
      <w:r>
        <w:rPr>
          <w:rFonts w:ascii="Times New Roman" w:hAnsi="Times New Roman" w:cs="Times New Roman"/>
          <w:color w:val="000000"/>
        </w:rPr>
        <w:t>的一部分，</w:t>
      </w:r>
      <w:r>
        <w:rPr>
          <w:rFonts w:hint="eastAsia" w:ascii="Times New Roman" w:hAnsi="Times New Roman" w:cs="Times New Roman"/>
          <w:color w:val="000000"/>
        </w:rPr>
        <w:t>将接闪器雷电流传导至接地装置。（</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环形导体</w:t>
      </w:r>
      <w:r>
        <w:rPr>
          <w:rFonts w:hint="eastAsia" w:ascii="Times New Roman" w:hAnsi="Times New Roman" w:cs="Times New Roman"/>
          <w:color w:val="000000"/>
        </w:rPr>
        <w:t>是</w:t>
      </w:r>
      <w:r>
        <w:rPr>
          <w:rFonts w:ascii="Times New Roman" w:hAnsi="Times New Roman" w:cs="Times New Roman"/>
          <w:color w:val="000000"/>
        </w:rPr>
        <w:t>围绕建筑物四周形成一个回路的导体，与引</w:t>
      </w:r>
      <w:r>
        <w:rPr>
          <w:rFonts w:hint="eastAsia" w:ascii="Times New Roman" w:hAnsi="Times New Roman" w:cs="Times New Roman"/>
          <w:color w:val="000000"/>
        </w:rPr>
        <w:t>上</w:t>
      </w:r>
      <w:r>
        <w:rPr>
          <w:rFonts w:ascii="Times New Roman" w:hAnsi="Times New Roman" w:cs="Times New Roman"/>
          <w:color w:val="000000"/>
        </w:rPr>
        <w:t>线相连，</w:t>
      </w:r>
      <w:r>
        <w:rPr>
          <w:rFonts w:hint="eastAsia" w:ascii="Times New Roman" w:hAnsi="Times New Roman" w:cs="Times New Roman"/>
          <w:color w:val="000000"/>
        </w:rPr>
        <w:t>集中</w:t>
      </w:r>
      <w:r>
        <w:rPr>
          <w:rFonts w:ascii="Times New Roman" w:hAnsi="Times New Roman" w:cs="Times New Roman"/>
          <w:color w:val="000000"/>
        </w:rPr>
        <w:t>雷电流。</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接地</w:t>
      </w:r>
      <w:r>
        <w:rPr>
          <w:rFonts w:hint="eastAsia" w:ascii="Times New Roman" w:hAnsi="Times New Roman" w:cs="Times New Roman"/>
          <w:color w:val="000000"/>
        </w:rPr>
        <w:t>装置是</w:t>
      </w:r>
      <w:r>
        <w:rPr>
          <w:rFonts w:ascii="Times New Roman" w:hAnsi="Times New Roman" w:cs="Times New Roman"/>
          <w:color w:val="000000"/>
        </w:rPr>
        <w:t>外部LPS的一部分，将雷电流传导和分散入地</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接地极</w:t>
      </w:r>
      <w:r>
        <w:rPr>
          <w:rFonts w:hint="eastAsia" w:ascii="Times New Roman" w:hAnsi="Times New Roman" w:cs="Times New Roman"/>
          <w:color w:val="000000"/>
        </w:rPr>
        <w:t>是</w:t>
      </w: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的一部分，通过它与大地直接相连，并将雷电流分散入地。</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环形接地极</w:t>
      </w:r>
      <w:r>
        <w:rPr>
          <w:rFonts w:hint="eastAsia" w:ascii="Times New Roman" w:hAnsi="Times New Roman" w:cs="Times New Roman"/>
          <w:color w:val="000000"/>
        </w:rPr>
        <w:t>是在</w:t>
      </w:r>
      <w:r>
        <w:rPr>
          <w:rFonts w:ascii="Times New Roman" w:hAnsi="Times New Roman" w:cs="Times New Roman"/>
          <w:color w:val="000000"/>
        </w:rPr>
        <w:t>建筑物四周</w:t>
      </w:r>
      <w:r>
        <w:rPr>
          <w:rFonts w:hint="eastAsia" w:ascii="Times New Roman" w:hAnsi="Times New Roman" w:cs="Times New Roman"/>
          <w:color w:val="000000"/>
        </w:rPr>
        <w:t>的</w:t>
      </w:r>
      <w:r>
        <w:rPr>
          <w:rFonts w:ascii="Times New Roman" w:hAnsi="Times New Roman" w:cs="Times New Roman"/>
          <w:color w:val="000000"/>
        </w:rPr>
        <w:t>土壤</w:t>
      </w:r>
      <w:r>
        <w:rPr>
          <w:rFonts w:hint="eastAsia" w:ascii="Times New Roman" w:hAnsi="Times New Roman" w:cs="Times New Roman"/>
          <w:color w:val="000000"/>
        </w:rPr>
        <w:t>表层</w:t>
      </w:r>
      <w:r>
        <w:rPr>
          <w:rFonts w:ascii="Times New Roman" w:hAnsi="Times New Roman" w:cs="Times New Roman"/>
          <w:color w:val="000000"/>
        </w:rPr>
        <w:t>或地表形成一个</w:t>
      </w:r>
      <w:r>
        <w:rPr>
          <w:rFonts w:hint="eastAsia" w:ascii="Times New Roman" w:hAnsi="Times New Roman" w:cs="Times New Roman"/>
          <w:color w:val="000000"/>
        </w:rPr>
        <w:t>不封闭</w:t>
      </w:r>
      <w:r>
        <w:rPr>
          <w:rFonts w:ascii="Times New Roman" w:hAnsi="Times New Roman" w:cs="Times New Roman"/>
          <w:color w:val="000000"/>
        </w:rPr>
        <w:t>回路的接地极。</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基础接地极</w:t>
      </w:r>
      <w:r>
        <w:rPr>
          <w:rFonts w:hint="eastAsia" w:ascii="Times New Roman" w:hAnsi="Times New Roman" w:cs="Times New Roman"/>
          <w:color w:val="000000"/>
        </w:rPr>
        <w:t>是指</w:t>
      </w:r>
      <w:r>
        <w:rPr>
          <w:rFonts w:ascii="Times New Roman" w:hAnsi="Times New Roman" w:cs="Times New Roman"/>
          <w:color w:val="000000"/>
        </w:rPr>
        <w:t>地基的混凝土钢筋或预埋在建筑物混凝土中用作接地极的其它导体</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通常</w:t>
      </w:r>
      <w:r>
        <w:rPr>
          <w:rFonts w:ascii="Times New Roman" w:hAnsi="Times New Roman" w:cs="Times New Roman"/>
          <w:color w:val="000000"/>
        </w:rPr>
        <w:t>接地</w:t>
      </w:r>
      <w:r>
        <w:rPr>
          <w:rFonts w:hint="eastAsia" w:ascii="Times New Roman" w:hAnsi="Times New Roman" w:cs="Times New Roman"/>
          <w:color w:val="000000"/>
        </w:rPr>
        <w:t>体</w:t>
      </w:r>
      <w:r>
        <w:rPr>
          <w:rFonts w:ascii="Times New Roman" w:hAnsi="Times New Roman" w:cs="Times New Roman"/>
          <w:color w:val="000000"/>
        </w:rPr>
        <w:t>电压峰值与电流峰值会同时出现</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接地</w:t>
      </w:r>
      <w:r>
        <w:rPr>
          <w:rFonts w:hint="eastAsia" w:ascii="Times New Roman" w:hAnsi="Times New Roman" w:cs="Times New Roman"/>
          <w:color w:val="000000"/>
        </w:rPr>
        <w:t>装置</w:t>
      </w:r>
      <w:r>
        <w:rPr>
          <w:rFonts w:ascii="Times New Roman" w:hAnsi="Times New Roman" w:cs="Times New Roman"/>
          <w:color w:val="000000"/>
        </w:rPr>
        <w:t>电压</w:t>
      </w:r>
      <w:r>
        <w:rPr>
          <w:rFonts w:hint="eastAsia" w:ascii="Times New Roman" w:hAnsi="Times New Roman" w:cs="Times New Roman"/>
          <w:color w:val="000000"/>
        </w:rPr>
        <w:t>是</w:t>
      </w:r>
      <w:r>
        <w:rPr>
          <w:rFonts w:ascii="Times New Roman" w:hAnsi="Times New Roman" w:cs="Times New Roman"/>
          <w:color w:val="000000"/>
        </w:rPr>
        <w:t>接地装置与</w:t>
      </w:r>
      <w:r>
        <w:rPr>
          <w:rFonts w:hint="eastAsia" w:ascii="Times New Roman" w:hAnsi="Times New Roman" w:cs="Times New Roman"/>
          <w:color w:val="000000"/>
        </w:rPr>
        <w:t>近地面</w:t>
      </w:r>
      <w:r>
        <w:rPr>
          <w:rFonts w:ascii="Times New Roman" w:hAnsi="Times New Roman" w:cs="Times New Roman"/>
          <w:color w:val="000000"/>
        </w:rPr>
        <w:t>的电位差。</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w:t>
      </w:r>
      <w:r>
        <w:rPr>
          <w:rFonts w:hint="eastAsia" w:ascii="Times New Roman" w:hAnsi="Times New Roman" w:cs="Times New Roman"/>
          <w:color w:val="000000"/>
        </w:rPr>
        <w:t>15《雷电防护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LPS的自然构件</w:t>
      </w:r>
      <w:r>
        <w:rPr>
          <w:rFonts w:hint="eastAsia" w:ascii="Times New Roman" w:hAnsi="Times New Roman" w:cs="Times New Roman"/>
          <w:color w:val="000000"/>
        </w:rPr>
        <w:t>是为防雷而专门安装的导电</w:t>
      </w:r>
      <w:r>
        <w:rPr>
          <w:rFonts w:ascii="Times New Roman" w:hAnsi="Times New Roman" w:cs="Times New Roman"/>
          <w:color w:val="000000"/>
        </w:rPr>
        <w:t>部件，</w:t>
      </w:r>
      <w:r>
        <w:rPr>
          <w:rFonts w:hint="eastAsia" w:ascii="Times New Roman" w:hAnsi="Times New Roman" w:cs="Times New Roman"/>
          <w:color w:val="000000"/>
        </w:rPr>
        <w:t>可</w:t>
      </w:r>
      <w:r>
        <w:rPr>
          <w:rFonts w:ascii="Times New Roman" w:hAnsi="Times New Roman" w:cs="Times New Roman"/>
          <w:color w:val="000000"/>
        </w:rPr>
        <w:t>用于LPS</w:t>
      </w:r>
      <w:r>
        <w:rPr>
          <w:rFonts w:hint="eastAsia" w:ascii="Times New Roman" w:hAnsi="Times New Roman" w:cs="Times New Roman"/>
          <w:color w:val="000000"/>
        </w:rPr>
        <w:t>，或</w:t>
      </w:r>
      <w:r>
        <w:rPr>
          <w:rFonts w:ascii="Times New Roman" w:hAnsi="Times New Roman" w:cs="Times New Roman"/>
          <w:color w:val="000000"/>
        </w:rPr>
        <w:t>在某些情况下，能具备LPS的一个或几个功能</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连接部件</w:t>
      </w:r>
      <w:r>
        <w:rPr>
          <w:rFonts w:hint="eastAsia" w:ascii="Times New Roman" w:hAnsi="Times New Roman" w:cs="Times New Roman"/>
          <w:color w:val="000000"/>
        </w:rPr>
        <w:t>是</w:t>
      </w:r>
      <w:r>
        <w:rPr>
          <w:rFonts w:ascii="Times New Roman" w:hAnsi="Times New Roman" w:cs="Times New Roman"/>
          <w:color w:val="000000"/>
        </w:rPr>
        <w:t>外部LPS的一部分，用于导体</w:t>
      </w:r>
      <w:r>
        <w:rPr>
          <w:rFonts w:hint="eastAsia" w:ascii="Times New Roman" w:hAnsi="Times New Roman" w:cs="Times New Roman"/>
          <w:color w:val="000000"/>
        </w:rPr>
        <w:t>间连接</w:t>
      </w:r>
      <w:r>
        <w:rPr>
          <w:rFonts w:ascii="Times New Roman" w:hAnsi="Times New Roman" w:cs="Times New Roman"/>
          <w:color w:val="000000"/>
        </w:rPr>
        <w:t>或连接到金属装置</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固定部件</w:t>
      </w:r>
      <w:r>
        <w:rPr>
          <w:rFonts w:hint="eastAsia" w:ascii="Times New Roman" w:hAnsi="Times New Roman" w:cs="Times New Roman"/>
          <w:color w:val="000000"/>
        </w:rPr>
        <w:t>是内部</w:t>
      </w:r>
      <w:r>
        <w:rPr>
          <w:rFonts w:ascii="Times New Roman" w:hAnsi="Times New Roman" w:cs="Times New Roman"/>
          <w:color w:val="000000"/>
        </w:rPr>
        <w:t>LPS中的一部分，用于将LPS部件固定到</w:t>
      </w:r>
      <w:r>
        <w:rPr>
          <w:rFonts w:hint="eastAsia" w:ascii="Times New Roman" w:hAnsi="Times New Roman" w:cs="Times New Roman"/>
          <w:color w:val="000000"/>
        </w:rPr>
        <w:t>受保护建筑物</w:t>
      </w:r>
      <w:r>
        <w:rPr>
          <w:rFonts w:ascii="Times New Roman" w:hAnsi="Times New Roman" w:cs="Times New Roman"/>
          <w:color w:val="000000"/>
        </w:rPr>
        <w:t>上</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金属装置</w:t>
      </w:r>
      <w:r>
        <w:rPr>
          <w:rFonts w:hint="eastAsia" w:ascii="Times New Roman" w:hAnsi="Times New Roman" w:cs="Times New Roman"/>
          <w:color w:val="000000"/>
        </w:rPr>
        <w:t>是</w:t>
      </w:r>
      <w:r>
        <w:rPr>
          <w:rFonts w:ascii="Times New Roman" w:hAnsi="Times New Roman" w:cs="Times New Roman"/>
          <w:color w:val="000000"/>
        </w:rPr>
        <w:t>受保护建筑物</w:t>
      </w:r>
      <w:r>
        <w:rPr>
          <w:rFonts w:hint="eastAsia" w:ascii="Times New Roman" w:hAnsi="Times New Roman" w:cs="Times New Roman"/>
          <w:color w:val="000000"/>
        </w:rPr>
        <w:t>外部可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，可形成雷电流通道。例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管</w:t>
      </w:r>
      <w:r>
        <w:rPr>
          <w:rFonts w:hint="eastAsia" w:ascii="Times New Roman" w:hAnsi="Times New Roman" w:cs="Times New Roman"/>
          <w:color w:val="000000"/>
        </w:rPr>
        <w:t>道</w:t>
      </w:r>
      <w:r>
        <w:rPr>
          <w:rFonts w:ascii="Times New Roman" w:hAnsi="Times New Roman" w:cs="Times New Roman"/>
          <w:color w:val="000000"/>
        </w:rPr>
        <w:t>、楼梯、电梯扶手、升降机导轨、通风装置、加热或空调管道以及互联钢筋等</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外部导体构件</w:t>
      </w:r>
      <w:r>
        <w:rPr>
          <w:rFonts w:hint="eastAsia" w:ascii="Times New Roman" w:hAnsi="Times New Roman" w:cs="Times New Roman"/>
          <w:color w:val="000000"/>
        </w:rPr>
        <w:t>是出入受保护建筑物，</w:t>
      </w:r>
      <w:r>
        <w:rPr>
          <w:rFonts w:ascii="Times New Roman" w:hAnsi="Times New Roman" w:cs="Times New Roman"/>
          <w:color w:val="000000"/>
        </w:rPr>
        <w:t>携带部分雷电流</w:t>
      </w:r>
      <w:r>
        <w:rPr>
          <w:rFonts w:hint="eastAsia" w:ascii="Times New Roman" w:hAnsi="Times New Roman" w:cs="Times New Roman"/>
          <w:color w:val="000000"/>
        </w:rPr>
        <w:t>的可</w:t>
      </w:r>
      <w:r>
        <w:rPr>
          <w:rFonts w:ascii="Times New Roman" w:hAnsi="Times New Roman" w:cs="Times New Roman"/>
          <w:color w:val="000000"/>
        </w:rPr>
        <w:t>延</w:t>
      </w:r>
      <w:r>
        <w:rPr>
          <w:rFonts w:hint="eastAsia" w:ascii="Times New Roman" w:hAnsi="Times New Roman" w:cs="Times New Roman"/>
          <w:color w:val="000000"/>
        </w:rPr>
        <w:t>续</w:t>
      </w:r>
      <w:r>
        <w:rPr>
          <w:rFonts w:ascii="Times New Roman" w:hAnsi="Times New Roman" w:cs="Times New Roman"/>
          <w:color w:val="000000"/>
        </w:rPr>
        <w:t>的金属构件</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管</w:t>
      </w:r>
      <w:r>
        <w:rPr>
          <w:rFonts w:hint="eastAsia" w:ascii="Times New Roman" w:hAnsi="Times New Roman" w:cs="Times New Roman"/>
          <w:color w:val="000000"/>
        </w:rPr>
        <w:t>道</w:t>
      </w:r>
      <w:r>
        <w:rPr>
          <w:rFonts w:ascii="Times New Roman" w:hAnsi="Times New Roman" w:cs="Times New Roman"/>
          <w:color w:val="000000"/>
        </w:rPr>
        <w:t>、楼梯、电梯扶手、升降机导轨、通风装置、加热或空调管道以及互联钢筋等</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电气系统</w:t>
      </w:r>
      <w:r>
        <w:rPr>
          <w:rFonts w:hint="eastAsia" w:ascii="Times New Roman" w:hAnsi="Times New Roman" w:cs="Times New Roman"/>
          <w:color w:val="000000"/>
        </w:rPr>
        <w:t>是装有</w:t>
      </w:r>
      <w:r>
        <w:rPr>
          <w:rFonts w:ascii="Times New Roman" w:hAnsi="Times New Roman" w:cs="Times New Roman"/>
          <w:color w:val="000000"/>
        </w:rPr>
        <w:t>低压</w:t>
      </w:r>
      <w:r>
        <w:rPr>
          <w:rFonts w:hint="eastAsia" w:ascii="Times New Roman" w:hAnsi="Times New Roman" w:cs="Times New Roman"/>
          <w:color w:val="000000"/>
        </w:rPr>
        <w:t>供电部</w:t>
      </w:r>
      <w:r>
        <w:rPr>
          <w:rFonts w:ascii="Times New Roman" w:hAnsi="Times New Roman" w:cs="Times New Roman"/>
          <w:color w:val="000000"/>
        </w:rPr>
        <w:t>件及</w:t>
      </w:r>
      <w:r>
        <w:rPr>
          <w:rFonts w:hint="eastAsia" w:ascii="Times New Roman" w:hAnsi="Times New Roman" w:cs="Times New Roman"/>
          <w:color w:val="000000"/>
        </w:rPr>
        <w:t>可能的</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件的系统</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电子系统</w:t>
      </w:r>
      <w:r>
        <w:rPr>
          <w:rFonts w:hint="eastAsia" w:ascii="Times New Roman" w:hAnsi="Times New Roman" w:cs="Times New Roman"/>
          <w:color w:val="000000"/>
        </w:rPr>
        <w:t>是装有敏感</w:t>
      </w:r>
      <w:r>
        <w:rPr>
          <w:rFonts w:ascii="Times New Roman" w:hAnsi="Times New Roman" w:cs="Times New Roman"/>
          <w:color w:val="000000"/>
        </w:rPr>
        <w:t>电子</w:t>
      </w:r>
      <w:r>
        <w:rPr>
          <w:rFonts w:hint="eastAsia" w:ascii="Times New Roman" w:hAnsi="Times New Roman" w:cs="Times New Roman"/>
          <w:color w:val="000000"/>
        </w:rPr>
        <w:t>部</w:t>
      </w:r>
      <w:r>
        <w:rPr>
          <w:rFonts w:ascii="Times New Roman" w:hAnsi="Times New Roman" w:cs="Times New Roman"/>
          <w:color w:val="000000"/>
        </w:rPr>
        <w:t>件</w:t>
      </w:r>
      <w:r>
        <w:rPr>
          <w:rFonts w:hint="eastAsia" w:ascii="Times New Roman" w:hAnsi="Times New Roman" w:cs="Times New Roman"/>
          <w:color w:val="000000"/>
        </w:rPr>
        <w:t>的系统</w:t>
      </w:r>
      <w:r>
        <w:rPr>
          <w:rFonts w:ascii="Times New Roman" w:hAnsi="Times New Roman" w:cs="Times New Roman"/>
          <w:color w:val="000000"/>
        </w:rPr>
        <w:t>，</w:t>
      </w:r>
      <w:r>
        <w:rPr>
          <w:rFonts w:hint="eastAsia" w:ascii="Times New Roman" w:hAnsi="Times New Roman" w:cs="Times New Roman"/>
          <w:color w:val="000000"/>
        </w:rPr>
        <w:t>例</w:t>
      </w:r>
      <w:r>
        <w:rPr>
          <w:rFonts w:ascii="Times New Roman" w:hAnsi="Times New Roman" w:cs="Times New Roman"/>
          <w:color w:val="000000"/>
        </w:rPr>
        <w:t>如</w:t>
      </w:r>
      <w:r>
        <w:rPr>
          <w:rFonts w:hint="eastAsia" w:ascii="Times New Roman" w:hAnsi="Times New Roman" w:cs="Times New Roman"/>
          <w:color w:val="000000"/>
        </w:rPr>
        <w:t>：</w:t>
      </w:r>
      <w:r>
        <w:rPr>
          <w:rFonts w:ascii="Times New Roman" w:hAnsi="Times New Roman" w:cs="Times New Roman"/>
          <w:color w:val="000000"/>
        </w:rPr>
        <w:t>通信设备、计算机、控制</w:t>
      </w:r>
      <w:r>
        <w:rPr>
          <w:rFonts w:hint="eastAsia" w:ascii="Times New Roman" w:hAnsi="Times New Roman" w:cs="Times New Roman"/>
          <w:color w:val="000000"/>
        </w:rPr>
        <w:t>和</w:t>
      </w:r>
      <w:r>
        <w:rPr>
          <w:rFonts w:ascii="Times New Roman" w:hAnsi="Times New Roman" w:cs="Times New Roman"/>
          <w:color w:val="000000"/>
        </w:rPr>
        <w:t>仪</w:t>
      </w:r>
      <w:r>
        <w:rPr>
          <w:rFonts w:hint="eastAsia" w:ascii="Times New Roman" w:hAnsi="Times New Roman" w:cs="Times New Roman"/>
          <w:color w:val="000000"/>
        </w:rPr>
        <w:t>表</w:t>
      </w:r>
      <w:r>
        <w:rPr>
          <w:rFonts w:ascii="Times New Roman" w:hAnsi="Times New Roman" w:cs="Times New Roman"/>
          <w:color w:val="000000"/>
        </w:rPr>
        <w:t>系统、无线电系统和电</w:t>
      </w:r>
      <w:r>
        <w:rPr>
          <w:rFonts w:hint="eastAsia" w:ascii="Times New Roman" w:hAnsi="Times New Roman" w:cs="Times New Roman"/>
          <w:color w:val="000000"/>
        </w:rPr>
        <w:t>力</w:t>
      </w:r>
      <w:r>
        <w:rPr>
          <w:rFonts w:ascii="Times New Roman" w:hAnsi="Times New Roman" w:cs="Times New Roman"/>
          <w:color w:val="000000"/>
        </w:rPr>
        <w:t>电子</w:t>
      </w:r>
      <w:r>
        <w:rPr>
          <w:rFonts w:hint="eastAsia" w:ascii="Times New Roman" w:hAnsi="Times New Roman" w:cs="Times New Roman"/>
          <w:color w:val="000000"/>
        </w:rPr>
        <w:t>设备等。（</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雷电</w:t>
      </w:r>
      <w:r>
        <w:rPr>
          <w:rFonts w:ascii="Times New Roman" w:hAnsi="Times New Roman" w:cs="Times New Roman"/>
          <w:color w:val="000000"/>
        </w:rPr>
        <w:t>等电位连接</w:t>
      </w:r>
      <w:r>
        <w:rPr>
          <w:rFonts w:hint="eastAsia" w:ascii="Times New Roman" w:hAnsi="Times New Roman" w:cs="Times New Roman"/>
          <w:color w:val="000000"/>
        </w:rPr>
        <w:t>(EB)是连接至分离导电部件的LPS。直接连接或通过浪涌保护器连接，可增加</w:t>
      </w:r>
      <w:r>
        <w:rPr>
          <w:rFonts w:ascii="Times New Roman" w:hAnsi="Times New Roman" w:cs="Times New Roman"/>
          <w:color w:val="000000"/>
        </w:rPr>
        <w:t>雷电流产生的电位差</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等电位</w:t>
      </w:r>
      <w:r>
        <w:rPr>
          <w:rFonts w:hint="eastAsia" w:ascii="Times New Roman" w:hAnsi="Times New Roman" w:cs="Times New Roman"/>
          <w:color w:val="000000"/>
        </w:rPr>
        <w:t>连接排是为</w:t>
      </w:r>
      <w:r>
        <w:rPr>
          <w:rFonts w:ascii="Times New Roman" w:hAnsi="Times New Roman" w:cs="Times New Roman"/>
          <w:color w:val="000000"/>
        </w:rPr>
        <w:t>防雷装置做等电位连接</w:t>
      </w:r>
      <w:r>
        <w:rPr>
          <w:rFonts w:hint="eastAsia" w:ascii="Times New Roman" w:hAnsi="Times New Roman" w:cs="Times New Roman"/>
          <w:color w:val="000000"/>
        </w:rPr>
        <w:t>的部件，需要接地的</w:t>
      </w:r>
      <w:r>
        <w:rPr>
          <w:rFonts w:ascii="Times New Roman" w:hAnsi="Times New Roman" w:cs="Times New Roman"/>
          <w:color w:val="000000"/>
        </w:rPr>
        <w:t>金属装置、</w:t>
      </w:r>
      <w:r>
        <w:rPr>
          <w:rFonts w:hint="eastAsia" w:ascii="Times New Roman" w:hAnsi="Times New Roman" w:cs="Times New Roman"/>
          <w:color w:val="000000"/>
        </w:rPr>
        <w:t>外部导电部件</w:t>
      </w:r>
      <w:r>
        <w:rPr>
          <w:rFonts w:ascii="Times New Roman" w:hAnsi="Times New Roman" w:cs="Times New Roman"/>
          <w:color w:val="000000"/>
        </w:rPr>
        <w:t>、电力线路、通信线路及其它电缆</w:t>
      </w:r>
      <w:r>
        <w:rPr>
          <w:rFonts w:hint="eastAsia" w:ascii="Times New Roman" w:hAnsi="Times New Roman" w:cs="Times New Roman"/>
          <w:color w:val="000000"/>
        </w:rPr>
        <w:t>可与之</w:t>
      </w:r>
      <w:r>
        <w:rPr>
          <w:rFonts w:ascii="Times New Roman" w:hAnsi="Times New Roman" w:cs="Times New Roman"/>
          <w:color w:val="000000"/>
        </w:rPr>
        <w:t>连</w:t>
      </w:r>
      <w:r>
        <w:rPr>
          <w:rFonts w:hint="eastAsia" w:ascii="Times New Roman" w:hAnsi="Times New Roman" w:cs="Times New Roman"/>
          <w:color w:val="000000"/>
        </w:rPr>
        <w:t>接。（</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用于</w:t>
      </w:r>
      <w:r>
        <w:rPr>
          <w:rFonts w:ascii="Times New Roman" w:hAnsi="Times New Roman" w:cs="Times New Roman"/>
          <w:color w:val="000000"/>
        </w:rPr>
        <w:t>将</w:t>
      </w:r>
      <w:r>
        <w:rPr>
          <w:rFonts w:hint="eastAsia" w:ascii="Times New Roman" w:hAnsi="Times New Roman" w:cs="Times New Roman"/>
          <w:color w:val="000000"/>
        </w:rPr>
        <w:t>分离导电部件与LPS的导体称为连接导体。（</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第3.25条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混凝土建筑物内的钢结构</w:t>
      </w:r>
      <w:r>
        <w:rPr>
          <w:rFonts w:hint="eastAsia" w:ascii="Times New Roman" w:hAnsi="Times New Roman" w:cs="Times New Roman"/>
          <w:color w:val="000000"/>
        </w:rPr>
        <w:t>称为</w:t>
      </w:r>
      <w:r>
        <w:rPr>
          <w:rFonts w:ascii="Times New Roman" w:hAnsi="Times New Roman" w:cs="Times New Roman"/>
          <w:color w:val="000000"/>
        </w:rPr>
        <w:t>互联钢筋，在电气上被认为是</w:t>
      </w:r>
      <w:r>
        <w:rPr>
          <w:rFonts w:hint="eastAsia" w:ascii="Times New Roman" w:hAnsi="Times New Roman" w:cs="Times New Roman"/>
          <w:color w:val="000000"/>
        </w:rPr>
        <w:t>不</w:t>
      </w:r>
      <w:r>
        <w:rPr>
          <w:rFonts w:ascii="Times New Roman" w:hAnsi="Times New Roman" w:cs="Times New Roman"/>
          <w:color w:val="000000"/>
        </w:rPr>
        <w:t>连续的</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-2010</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第3.26条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危险火花</w:t>
      </w:r>
      <w:r>
        <w:rPr>
          <w:rFonts w:hint="eastAsia" w:ascii="Times New Roman" w:hAnsi="Times New Roman" w:cs="Times New Roman"/>
          <w:color w:val="000000"/>
        </w:rPr>
        <w:t>是</w:t>
      </w:r>
      <w:r>
        <w:rPr>
          <w:rFonts w:ascii="Times New Roman" w:hAnsi="Times New Roman" w:cs="Times New Roman"/>
          <w:color w:val="000000"/>
        </w:rPr>
        <w:t>由雷电引起的放电，</w:t>
      </w:r>
      <w:r>
        <w:rPr>
          <w:rFonts w:hint="eastAsia" w:ascii="Times New Roman" w:hAnsi="Times New Roman" w:cs="Times New Roman"/>
          <w:color w:val="000000"/>
        </w:rPr>
        <w:t>可能会</w:t>
      </w:r>
      <w:r>
        <w:rPr>
          <w:rFonts w:ascii="Times New Roman" w:hAnsi="Times New Roman" w:cs="Times New Roman"/>
          <w:color w:val="000000"/>
        </w:rPr>
        <w:t>对受保护建筑物引起物理损坏。</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第3.27条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两个导体之间出现危险火花的距离</w:t>
      </w:r>
      <w:r>
        <w:rPr>
          <w:rFonts w:hint="eastAsia" w:ascii="Times New Roman" w:hAnsi="Times New Roman" w:cs="Times New Roman"/>
          <w:color w:val="000000"/>
        </w:rPr>
        <w:t>称为隔距。（</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第3.28条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浪涌保护</w:t>
      </w:r>
      <w:r>
        <w:rPr>
          <w:rFonts w:hint="eastAsia" w:ascii="Times New Roman" w:hAnsi="Times New Roman" w:cs="Times New Roman"/>
          <w:color w:val="000000"/>
        </w:rPr>
        <w:t>器是</w:t>
      </w:r>
      <w:r>
        <w:rPr>
          <w:rFonts w:ascii="Times New Roman" w:hAnsi="Times New Roman" w:cs="Times New Roman"/>
          <w:color w:val="000000"/>
        </w:rPr>
        <w:t>一种用来限制瞬时过电压和</w:t>
      </w:r>
      <w:r>
        <w:rPr>
          <w:rFonts w:hint="eastAsia" w:ascii="Times New Roman" w:hAnsi="Times New Roman" w:cs="Times New Roman"/>
          <w:color w:val="000000"/>
        </w:rPr>
        <w:t>转移浪涌</w:t>
      </w:r>
      <w:r>
        <w:rPr>
          <w:rFonts w:ascii="Times New Roman" w:hAnsi="Times New Roman" w:cs="Times New Roman"/>
          <w:color w:val="000000"/>
        </w:rPr>
        <w:t>电流的</w:t>
      </w:r>
      <w:r>
        <w:rPr>
          <w:rFonts w:hint="eastAsia" w:ascii="Times New Roman" w:hAnsi="Times New Roman" w:cs="Times New Roman"/>
          <w:color w:val="000000"/>
        </w:rPr>
        <w:t>器件，</w:t>
      </w:r>
      <w:r>
        <w:rPr>
          <w:rFonts w:ascii="Times New Roman" w:hAnsi="Times New Roman" w:cs="Times New Roman"/>
          <w:color w:val="000000"/>
        </w:rPr>
        <w:t>它至少包含一个线性元件</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第3.29条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测试接头</w:t>
      </w:r>
      <w:r>
        <w:rPr>
          <w:rFonts w:hint="eastAsia" w:ascii="Times New Roman" w:hAnsi="Times New Roman" w:cs="Times New Roman"/>
          <w:color w:val="000000"/>
        </w:rPr>
        <w:t>是</w:t>
      </w:r>
      <w:r>
        <w:rPr>
          <w:rFonts w:ascii="Times New Roman" w:hAnsi="Times New Roman" w:cs="Times New Roman"/>
          <w:color w:val="000000"/>
        </w:rPr>
        <w:t>用于电气测试</w:t>
      </w:r>
      <w:r>
        <w:rPr>
          <w:rFonts w:hint="eastAsia" w:ascii="Times New Roman" w:hAnsi="Times New Roman" w:cs="Times New Roman"/>
          <w:color w:val="000000"/>
        </w:rPr>
        <w:t>和</w:t>
      </w:r>
      <w:r>
        <w:rPr>
          <w:rFonts w:ascii="Times New Roman" w:hAnsi="Times New Roman" w:cs="Times New Roman"/>
          <w:color w:val="000000"/>
        </w:rPr>
        <w:t>LPS部件</w:t>
      </w:r>
      <w:r>
        <w:rPr>
          <w:rFonts w:hint="eastAsia" w:ascii="Times New Roman" w:hAnsi="Times New Roman" w:cs="Times New Roman"/>
          <w:color w:val="000000"/>
        </w:rPr>
        <w:t>测量的点。（</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第3.30条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hAnsi="Times New Roman" w:cs="Times New Roman"/>
          <w:color w:val="000000"/>
        </w:rPr>
        <w:t>LPS类型</w:t>
      </w:r>
      <w:r>
        <w:rPr>
          <w:rFonts w:hint="eastAsia" w:ascii="Times New Roman" w:hAnsi="Times New Roman" w:cs="Times New Roman"/>
          <w:color w:val="000000"/>
        </w:rPr>
        <w:t>是</w:t>
      </w:r>
      <w:r>
        <w:rPr>
          <w:rFonts w:ascii="Times New Roman" w:hAnsi="Times New Roman" w:cs="Times New Roman"/>
          <w:color w:val="000000"/>
        </w:rPr>
        <w:t>根据设计中的</w:t>
      </w:r>
      <w:r>
        <w:rPr>
          <w:rFonts w:hint="eastAsia" w:ascii="Times New Roman" w:hAnsi="Times New Roman" w:cs="Times New Roman"/>
          <w:color w:val="000000"/>
        </w:rPr>
        <w:t>雷电防护水平</w:t>
      </w:r>
      <w:r>
        <w:rPr>
          <w:rFonts w:ascii="Times New Roman" w:hAnsi="Times New Roman" w:cs="Times New Roman"/>
          <w:color w:val="000000"/>
        </w:rPr>
        <w:t>，用来标识LPS</w:t>
      </w:r>
      <w:r>
        <w:rPr>
          <w:rFonts w:hint="eastAsia" w:ascii="Times New Roman" w:hAnsi="Times New Roman" w:cs="Times New Roman"/>
          <w:color w:val="000000"/>
        </w:rPr>
        <w:t>分类</w:t>
      </w:r>
      <w:r>
        <w:rPr>
          <w:rFonts w:ascii="Times New Roman" w:hAnsi="Times New Roman" w:cs="Times New Roman"/>
          <w:color w:val="000000"/>
        </w:rPr>
        <w:t>的数字</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防雷设计人员</w:t>
      </w:r>
      <w:r>
        <w:rPr>
          <w:rFonts w:hint="eastAsia" w:ascii="Times New Roman" w:hAnsi="Times New Roman" w:cs="Times New Roman"/>
          <w:color w:val="000000"/>
        </w:rPr>
        <w:t>是</w:t>
      </w:r>
      <w:r>
        <w:rPr>
          <w:rFonts w:ascii="Times New Roman" w:hAnsi="Times New Roman" w:cs="Times New Roman"/>
          <w:color w:val="000000"/>
        </w:rPr>
        <w:t>能熟练安装LPS的人员。</w:t>
      </w:r>
      <w:r>
        <w:rPr>
          <w:rFonts w:hint="eastAsia" w:ascii="Times New Roman" w:hAnsi="Times New Roman" w:cs="Times New Roman"/>
          <w:color w:val="000000"/>
        </w:rPr>
        <w:t>（</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ascii="Times New Roman" w:hAnsi="Times New Roman" w:cs="Times New Roman"/>
          <w:color w:val="000000"/>
        </w:rPr>
        <w:t>防雷安装人员</w:t>
      </w:r>
      <w:r>
        <w:rPr>
          <w:rFonts w:hint="eastAsia" w:ascii="Times New Roman" w:hAnsi="Times New Roman" w:cs="Times New Roman"/>
          <w:color w:val="000000"/>
        </w:rPr>
        <w:t>是能</w:t>
      </w:r>
      <w:r>
        <w:rPr>
          <w:rFonts w:ascii="Times New Roman" w:hAnsi="Times New Roman" w:cs="Times New Roman"/>
          <w:color w:val="000000"/>
        </w:rPr>
        <w:t>熟练</w:t>
      </w:r>
      <w:r>
        <w:rPr>
          <w:rFonts w:hint="eastAsia" w:ascii="Times New Roman" w:hAnsi="Times New Roman" w:cs="Times New Roman"/>
          <w:color w:val="000000"/>
        </w:rPr>
        <w:t>进行LPS设计的</w:t>
      </w:r>
      <w:r>
        <w:rPr>
          <w:rFonts w:ascii="Times New Roman" w:hAnsi="Times New Roman" w:cs="Times New Roman"/>
          <w:color w:val="000000"/>
        </w:rPr>
        <w:t>专</w:t>
      </w:r>
      <w:r>
        <w:rPr>
          <w:rFonts w:hint="eastAsia" w:ascii="Times New Roman" w:hAnsi="Times New Roman" w:cs="Times New Roman"/>
          <w:color w:val="000000"/>
        </w:rPr>
        <w:t>业人员。（</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有爆炸危险的建筑物是指储存固体爆炸性材料的建筑物或处于I</w:t>
      </w:r>
      <w:r>
        <w:rPr>
          <w:rFonts w:ascii="Times New Roman" w:hAnsi="Times New Roman" w:cs="Times New Roman"/>
          <w:color w:val="000000"/>
        </w:rPr>
        <w:t>EC60079-10和IEC 61241-10</w:t>
      </w:r>
      <w:r>
        <w:rPr>
          <w:rFonts w:hint="eastAsia" w:ascii="Times New Roman" w:hAnsi="Times New Roman" w:cs="Times New Roman"/>
          <w:color w:val="000000"/>
        </w:rPr>
        <w:t>中定义的危险区域的建筑物。（</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固体爆炸性材料是指固体化合物、混合物或装置，主要用途或普通用途用于爆破建筑物。（</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第3部分：建筑物的物理损坏和生命危险》第D.2.1条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0区指由空气和易燃物质混合物（气体、蒸汽或烟雾）组成的爆炸性气体偶尔存在的区域。（</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第3部分：建筑物的物理损坏和生命危险》第D.2.2条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1区指正常运行期间，由气态易燃物质混合物（煤气、蒸汽或烟雾）组成的爆炸性气体偶尔可能存在的区域。（</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第3部分：建筑物的物理损坏和生命危险》第D.2.3条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hAnsi="Times New Roman" w:cs="Times New Roman"/>
          <w:color w:val="000000"/>
        </w:rPr>
        <w:t>2区指由气态易燃物质混合物（煤气、蒸汽或烟雾）组成的爆炸性气体，正常运行期间很可能出现，如果出现，持续时间较长的区域。（</w:t>
      </w:r>
      <w:r>
        <w:rPr>
          <w:rFonts w:ascii="Times New Roman" w:hAnsi="Times New Roman" w:cs="Times New Roman"/>
          <w:color w:val="000000"/>
        </w:rPr>
        <w:t>×</w:t>
      </w:r>
      <w:r>
        <w:rPr>
          <w:rFonts w:hint="eastAsia" w:ascii="Times New Roman" w:hAnsi="Times New Roman" w:cs="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第3部分：建筑物的物理损坏和生命危险》第D.2.4条</w:t>
      </w:r>
    </w:p>
    <w:p>
      <w:pPr>
        <w:pStyle w:val="5"/>
        <w:numPr>
          <w:ilvl w:val="1"/>
          <w:numId w:val="8"/>
        </w:numPr>
        <w:spacing w:before="0" w:beforeAutospacing="0" w:after="0" w:afterAutospacing="0" w:line="400" w:lineRule="exact"/>
        <w:ind w:left="480" w:hanging="480" w:hangingChars="200"/>
        <w:rPr>
          <w:rFonts w:ascii="Times New Roman" w:hAnsi="Times New Roman" w:cs="Times New Roman"/>
          <w:color w:val="000000"/>
        </w:rPr>
      </w:pPr>
      <w:r>
        <w:rPr>
          <w:rFonts w:hint="eastAsia" w:ascii="Times New Roman"/>
          <w:color w:val="000000"/>
        </w:rPr>
        <w:t>20区是空气中含有易燃粉尘爆炸性气体偶尔存在的区域。（</w:t>
      </w:r>
      <w:r>
        <w:rPr>
          <w:rFonts w:ascii="Arial" w:hAnsi="Arial" w:cs="Arial"/>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第3部分：建筑物的物理损坏和生命危险》第D.2.5条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21区是正常运行期间，空气中含有易燃粉尘爆性气体偶尔可能存在的区域。（</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第3部分：建筑物的物理损坏和生命危险》第D.2.6条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22区指空气中含有易燃粉尘爆炸性气体的区域，正常运行期间不可能出现，如果出现，持续时间很长。（</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hint="eastAsia" w:ascii="Times New Roman" w:hAnsi="Times New Roman" w:cs="Times New Roman"/>
          <w:color w:val="000000"/>
        </w:rPr>
        <w:t>解析：GB/T 21714.3-2015《雷电防护 第3部分：建筑物的物理损坏和生命危险》第D.2.7条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浪涌</w:t>
      </w:r>
      <w:r>
        <w:rPr>
          <w:rFonts w:hint="eastAsia" w:ascii="Times New Roman"/>
          <w:color w:val="000000"/>
        </w:rPr>
        <w:t>（LEMP）是</w:t>
      </w:r>
      <w:r>
        <w:rPr>
          <w:rFonts w:ascii="Times New Roman"/>
          <w:color w:val="000000"/>
        </w:rPr>
        <w:t>由LEMP引起</w:t>
      </w:r>
      <w:r>
        <w:rPr>
          <w:rFonts w:hint="eastAsia" w:ascii="Times New Roman"/>
          <w:color w:val="000000"/>
        </w:rPr>
        <w:t>的，</w:t>
      </w:r>
      <w:r>
        <w:rPr>
          <w:rFonts w:ascii="Times New Roman"/>
          <w:color w:val="000000"/>
        </w:rPr>
        <w:t>以过电压和/或过电流</w:t>
      </w:r>
      <w:r>
        <w:rPr>
          <w:rFonts w:hint="eastAsia" w:ascii="Times New Roman"/>
          <w:color w:val="000000"/>
        </w:rPr>
        <w:t>形态</w:t>
      </w:r>
      <w:r>
        <w:rPr>
          <w:rFonts w:ascii="Times New Roman"/>
          <w:color w:val="000000"/>
        </w:rPr>
        <w:t>出现的瞬态波</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第3.5条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额定冲击耐受电压水平（U</w:t>
      </w:r>
      <w:r>
        <w:rPr>
          <w:rFonts w:ascii="Times New Roman"/>
          <w:color w:val="000000"/>
          <w:vertAlign w:val="subscript"/>
        </w:rPr>
        <w:t>w</w:t>
      </w:r>
      <w:r>
        <w:rPr>
          <w:rFonts w:ascii="Times New Roman"/>
          <w:color w:val="000000"/>
        </w:rPr>
        <w:t>）</w:t>
      </w:r>
      <w:r>
        <w:rPr>
          <w:rFonts w:hint="eastAsia" w:ascii="Times New Roman"/>
          <w:color w:val="000000"/>
        </w:rPr>
        <w:t>是指由制造商对设备或其某一部件认定的冲击耐受电压，表征其规定的对过电压的耐受能力。（</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第3.6条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雷电防护水平（LPL）</w:t>
      </w:r>
      <w:r>
        <w:rPr>
          <w:rFonts w:hint="eastAsia" w:ascii="Times New Roman"/>
          <w:color w:val="000000"/>
        </w:rPr>
        <w:t>是指与概率相关的一组雷电流参数数值，其相关的最大和最小设计值应当超过自然发生的雷电。（</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第3.7条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雷电防护区（LPZ）</w:t>
      </w:r>
      <w:r>
        <w:rPr>
          <w:rFonts w:hint="eastAsia" w:ascii="Times New Roman"/>
          <w:color w:val="000000"/>
        </w:rPr>
        <w:t>指</w:t>
      </w:r>
      <w:r>
        <w:rPr>
          <w:rFonts w:ascii="Times New Roman"/>
          <w:color w:val="000000"/>
        </w:rPr>
        <w:t>规定雷电电磁场环境的区域</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第3.8条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内部</w:t>
      </w:r>
      <w:r>
        <w:rPr>
          <w:rFonts w:ascii="Times New Roman"/>
          <w:color w:val="000000"/>
        </w:rPr>
        <w:t>系统用来防护LEMP的完整防护措施系统</w:t>
      </w:r>
      <w:r>
        <w:rPr>
          <w:rFonts w:hint="eastAsia" w:ascii="Times New Roman"/>
          <w:color w:val="000000"/>
        </w:rPr>
        <w:t>称为</w:t>
      </w:r>
      <w:r>
        <w:rPr>
          <w:rFonts w:ascii="Times New Roman"/>
          <w:color w:val="000000"/>
        </w:rPr>
        <w:t>LEMP防护措施系统</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第3.9条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格栅形空间屏蔽</w:t>
      </w:r>
      <w:r>
        <w:rPr>
          <w:rFonts w:hint="eastAsia" w:ascii="Times New Roman"/>
          <w:color w:val="000000"/>
        </w:rPr>
        <w:t>是指</w:t>
      </w:r>
      <w:r>
        <w:rPr>
          <w:rFonts w:ascii="Times New Roman"/>
          <w:color w:val="000000"/>
        </w:rPr>
        <w:t>有</w:t>
      </w:r>
      <w:r>
        <w:rPr>
          <w:rFonts w:hint="eastAsia" w:ascii="Times New Roman"/>
          <w:color w:val="000000"/>
        </w:rPr>
        <w:t>格栅</w:t>
      </w:r>
      <w:r>
        <w:rPr>
          <w:rFonts w:ascii="Times New Roman"/>
          <w:color w:val="000000"/>
        </w:rPr>
        <w:t>特征的磁屏蔽</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第3.10条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连接</w:t>
      </w:r>
      <w:r>
        <w:rPr>
          <w:rFonts w:ascii="Times New Roman"/>
          <w:color w:val="000000"/>
        </w:rPr>
        <w:t>网络</w:t>
      </w:r>
      <w:r>
        <w:rPr>
          <w:rFonts w:hint="eastAsia" w:ascii="Times New Roman"/>
          <w:color w:val="000000"/>
        </w:rPr>
        <w:t>是指建筑物和内部系统所有导体部件（带电导体除外）与接地装置相互连接的网络。（</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第3.12条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用I</w:t>
      </w:r>
      <w:r>
        <w:rPr>
          <w:rFonts w:ascii="Times New Roman"/>
          <w:color w:val="000000"/>
          <w:vertAlign w:val="subscript"/>
        </w:rPr>
        <w:t>imp</w:t>
      </w:r>
      <w:r>
        <w:rPr>
          <w:rFonts w:ascii="Times New Roman"/>
          <w:color w:val="000000"/>
        </w:rPr>
        <w:t>测试的SPD</w:t>
      </w:r>
      <w:r>
        <w:rPr>
          <w:rFonts w:hint="eastAsia" w:ascii="Times New Roman"/>
          <w:color w:val="000000"/>
        </w:rPr>
        <w:t>是指</w:t>
      </w:r>
      <w:r>
        <w:rPr>
          <w:rFonts w:ascii="Times New Roman"/>
          <w:color w:val="000000"/>
        </w:rPr>
        <w:t>耐受典型波形10/350μs的部分雷电流的SPD，要求一个相应的冲击试验电流I</w:t>
      </w:r>
      <w:r>
        <w:rPr>
          <w:rFonts w:ascii="Times New Roman"/>
          <w:color w:val="000000"/>
          <w:vertAlign w:val="subscript"/>
        </w:rPr>
        <w:t>imp</w:t>
      </w:r>
      <w:r>
        <w:rPr>
          <w:rFonts w:ascii="Times New Roman"/>
          <w:color w:val="000000"/>
        </w:rPr>
        <w:t>。</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-2010</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第3.15条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用I</w:t>
      </w:r>
      <w:r>
        <w:rPr>
          <w:rFonts w:ascii="Times New Roman"/>
          <w:color w:val="000000"/>
          <w:vertAlign w:val="subscript"/>
        </w:rPr>
        <w:t>n</w:t>
      </w:r>
      <w:r>
        <w:rPr>
          <w:rFonts w:ascii="Times New Roman"/>
          <w:color w:val="000000"/>
        </w:rPr>
        <w:t>测试的SPD</w:t>
      </w:r>
      <w:r>
        <w:rPr>
          <w:rFonts w:hint="eastAsia" w:ascii="Times New Roman"/>
          <w:color w:val="000000"/>
        </w:rPr>
        <w:t>是指</w:t>
      </w:r>
      <w:r>
        <w:rPr>
          <w:rFonts w:ascii="Times New Roman"/>
          <w:color w:val="000000"/>
        </w:rPr>
        <w:t>耐受典型波形</w:t>
      </w:r>
      <w:r>
        <w:rPr>
          <w:rFonts w:hint="eastAsia" w:ascii="Times New Roman"/>
          <w:color w:val="000000"/>
        </w:rPr>
        <w:t>10</w:t>
      </w:r>
      <w:r>
        <w:rPr>
          <w:rFonts w:ascii="Times New Roman"/>
          <w:color w:val="000000"/>
        </w:rPr>
        <w:t>/</w:t>
      </w:r>
      <w:r>
        <w:rPr>
          <w:rFonts w:hint="eastAsia" w:ascii="Times New Roman"/>
          <w:color w:val="000000"/>
        </w:rPr>
        <w:t>30</w:t>
      </w:r>
      <w:r>
        <w:rPr>
          <w:rFonts w:ascii="Times New Roman"/>
          <w:color w:val="000000"/>
        </w:rPr>
        <w:t>μs的感应浪涌电流的SPD，要求一个相应的冲击试验电流I</w:t>
      </w:r>
      <w:r>
        <w:rPr>
          <w:rFonts w:ascii="Times New Roman"/>
          <w:color w:val="000000"/>
          <w:vertAlign w:val="subscript"/>
        </w:rPr>
        <w:t>n</w:t>
      </w:r>
      <w:r>
        <w:rPr>
          <w:rFonts w:ascii="Times New Roman"/>
          <w:color w:val="000000"/>
        </w:rPr>
        <w:t>。</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第3.16条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用组合波测试的SPD</w:t>
      </w:r>
      <w:r>
        <w:rPr>
          <w:rFonts w:hint="eastAsia" w:ascii="Times New Roman"/>
          <w:color w:val="000000"/>
        </w:rPr>
        <w:t>（LEMP）是指</w:t>
      </w:r>
      <w:r>
        <w:rPr>
          <w:rFonts w:ascii="Times New Roman"/>
          <w:color w:val="000000"/>
        </w:rPr>
        <w:t>耐受典型波形8/20μs的感应浪涌电流的SPD，要求一个相应的冲击试验电流为I</w:t>
      </w:r>
      <w:r>
        <w:rPr>
          <w:rFonts w:ascii="Times New Roman"/>
          <w:color w:val="000000"/>
          <w:vertAlign w:val="subscript"/>
        </w:rPr>
        <w:t>n</w:t>
      </w:r>
      <w:r>
        <w:rPr>
          <w:rFonts w:ascii="Times New Roman"/>
          <w:color w:val="000000"/>
        </w:rPr>
        <w:t>。</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第4部分：建筑物内电子和电气系统</w:t>
      </w:r>
      <w:r>
        <w:rPr>
          <w:rFonts w:ascii="Times New Roman" w:hAnsi="Times New Roman" w:cs="Times New Roman"/>
          <w:color w:val="000000"/>
        </w:rPr>
        <w:t>》</w:t>
      </w:r>
      <w:r>
        <w:rPr>
          <w:rFonts w:hint="eastAsia" w:ascii="Times New Roman" w:hAnsi="Times New Roman" w:cs="Times New Roman"/>
          <w:color w:val="000000"/>
        </w:rPr>
        <w:t>第3.17条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电压开关型SPD是指</w:t>
      </w:r>
      <w:r>
        <w:rPr>
          <w:rFonts w:ascii="Times New Roman"/>
          <w:color w:val="000000"/>
        </w:rPr>
        <w:t>无浪涌时呈</w:t>
      </w:r>
      <w:r>
        <w:rPr>
          <w:rFonts w:hint="eastAsia" w:ascii="Times New Roman"/>
          <w:color w:val="000000"/>
        </w:rPr>
        <w:t>低</w:t>
      </w:r>
      <w:r>
        <w:rPr>
          <w:rFonts w:ascii="Times New Roman"/>
          <w:color w:val="000000"/>
        </w:rPr>
        <w:t>阻抗值，但一旦响应电压浪涌时，其阻抗突然变为</w:t>
      </w:r>
      <w:r>
        <w:rPr>
          <w:rFonts w:hint="eastAsia" w:ascii="Times New Roman"/>
          <w:color w:val="000000"/>
        </w:rPr>
        <w:t>高</w:t>
      </w:r>
      <w:r>
        <w:rPr>
          <w:rFonts w:ascii="Times New Roman"/>
          <w:color w:val="000000"/>
        </w:rPr>
        <w:t>值的SPD</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第3.18条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限压型SPD</w:t>
      </w:r>
      <w:r>
        <w:rPr>
          <w:rFonts w:hint="eastAsia" w:ascii="Times New Roman"/>
          <w:color w:val="000000"/>
        </w:rPr>
        <w:t>是指</w:t>
      </w:r>
      <w:r>
        <w:rPr>
          <w:rFonts w:ascii="Times New Roman"/>
          <w:color w:val="000000"/>
        </w:rPr>
        <w:t>无浪涌时呈高阻抗值，随着浪涌电流和浪涌电压的增加，其阻抗</w:t>
      </w:r>
      <w:r>
        <w:rPr>
          <w:rFonts w:hint="eastAsia" w:ascii="Times New Roman"/>
          <w:color w:val="000000"/>
        </w:rPr>
        <w:t>也</w:t>
      </w:r>
      <w:r>
        <w:rPr>
          <w:rFonts w:ascii="Times New Roman"/>
          <w:color w:val="000000"/>
        </w:rPr>
        <w:t>会不断</w:t>
      </w:r>
      <w:r>
        <w:rPr>
          <w:rFonts w:hint="eastAsia" w:ascii="Times New Roman"/>
          <w:color w:val="000000"/>
        </w:rPr>
        <w:t>增加</w:t>
      </w:r>
      <w:r>
        <w:rPr>
          <w:rFonts w:ascii="Times New Roman"/>
          <w:color w:val="000000"/>
        </w:rPr>
        <w:t>的SPD</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第3.19条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组合型SPD</w:t>
      </w:r>
      <w:r>
        <w:rPr>
          <w:rFonts w:hint="eastAsia" w:ascii="Times New Roman"/>
          <w:color w:val="000000"/>
        </w:rPr>
        <w:t>是指</w:t>
      </w:r>
      <w:r>
        <w:rPr>
          <w:rFonts w:ascii="Times New Roman"/>
          <w:color w:val="000000"/>
        </w:rPr>
        <w:t>将电压开关型组件和限压型组件组装在一起的SPD，根据外施电压的特性，SPD显示出电压开关特性、限压特性或者同时具有电压开关特性和限压特性。</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第3.20条</w:t>
      </w:r>
    </w:p>
    <w:p>
      <w:pPr>
        <w:pStyle w:val="5"/>
        <w:numPr>
          <w:ilvl w:val="1"/>
          <w:numId w:val="8"/>
        </w:numPr>
        <w:spacing w:before="0" w:beforeAutospacing="0" w:after="0" w:afterAutospacing="0" w:line="400" w:lineRule="exact"/>
        <w:ind w:left="480" w:hanging="480" w:hangingChars="200"/>
        <w:rPr>
          <w:rFonts w:ascii="Times New Roman"/>
          <w:color w:val="000000"/>
        </w:rPr>
      </w:pPr>
      <w:r>
        <w:rPr>
          <w:rFonts w:ascii="Times New Roman"/>
          <w:color w:val="000000"/>
        </w:rPr>
        <w:t>协调配合的SPD防护</w:t>
      </w:r>
      <w:r>
        <w:rPr>
          <w:rFonts w:hint="eastAsia" w:ascii="Times New Roman"/>
          <w:color w:val="000000"/>
        </w:rPr>
        <w:t>是指</w:t>
      </w:r>
      <w:r>
        <w:rPr>
          <w:rFonts w:ascii="Times New Roman"/>
          <w:color w:val="000000"/>
        </w:rPr>
        <w:t>一组经过适当选择、配合和安装，用于</w:t>
      </w:r>
      <w:r>
        <w:rPr>
          <w:rFonts w:hint="eastAsia" w:ascii="Times New Roman"/>
          <w:color w:val="000000"/>
        </w:rPr>
        <w:t>增加</w:t>
      </w:r>
      <w:r>
        <w:rPr>
          <w:rFonts w:ascii="Times New Roman"/>
          <w:color w:val="000000"/>
        </w:rPr>
        <w:t>电气和电子系统的SPD。</w:t>
      </w:r>
      <w:r>
        <w:rPr>
          <w:rFonts w:hint="eastAsia" w:ascii="Times New Roman"/>
          <w:color w:val="000000"/>
        </w:rPr>
        <w:t>（</w:t>
      </w:r>
      <w:r>
        <w:rPr>
          <w:rFonts w:ascii="Times New Roman"/>
          <w:color w:val="000000"/>
        </w:rPr>
        <w:t>×</w:t>
      </w:r>
      <w:r>
        <w:rPr>
          <w:rFonts w:hint="eastAsia" w:ascii="Times New Roman"/>
          <w:color w:val="000000"/>
        </w:rPr>
        <w:t>）</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解析：GB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第3.21条</w:t>
      </w:r>
    </w:p>
    <w:p>
      <w:pPr>
        <w:numPr>
          <w:numId w:val="0"/>
        </w:numPr>
        <w:ind w:left="420" w:leftChars="0"/>
        <w:rPr>
          <w:rFonts w:hint="default" w:ascii="黑体" w:hAnsi="黑体" w:eastAsia="黑体" w:cs="黑体"/>
          <w:sz w:val="28"/>
          <w:szCs w:val="36"/>
          <w:lang w:val="en-US" w:eastAsia="zh-CN"/>
        </w:rPr>
      </w:pPr>
    </w:p>
    <w:p>
      <w:pPr>
        <w:numPr>
          <w:ilvl w:val="0"/>
          <w:numId w:val="7"/>
        </w:numPr>
        <w:ind w:left="420" w:leftChars="0" w:firstLine="0" w:firstLineChars="0"/>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简答题</w:t>
      </w: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简述雷电对典型建筑物的影响。</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spacing w:line="400" w:lineRule="exact"/>
        <w:ind w:firstLine="240" w:firstLineChars="100"/>
        <w:jc w:val="left"/>
        <w:rPr>
          <w:rFonts w:ascii="Times New Roman" w:hAnsi="Times New Roman" w:eastAsia="黑体"/>
          <w:color w:val="000000"/>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6"/>
        <w:gridCol w:w="5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blHeader/>
          <w:jc w:val="center"/>
        </w:trPr>
        <w:tc>
          <w:tcPr>
            <w:tcW w:w="2186" w:type="dxa"/>
            <w:vAlign w:val="center"/>
          </w:tcPr>
          <w:p>
            <w:pPr>
              <w:pStyle w:val="4"/>
              <w:ind w:firstLine="0"/>
              <w:jc w:val="left"/>
            </w:pPr>
            <w:r>
              <w:rPr>
                <w:rFonts w:hint="eastAsia"/>
              </w:rPr>
              <w:t>建筑物类型</w:t>
            </w:r>
          </w:p>
          <w:p>
            <w:pPr>
              <w:pStyle w:val="3"/>
              <w:pBdr>
                <w:bottom w:val="none" w:color="auto" w:sz="0" w:space="0"/>
              </w:pBdr>
              <w:tabs>
                <w:tab w:val="clear" w:pos="4153"/>
                <w:tab w:val="clear" w:pos="8306"/>
              </w:tabs>
              <w:snapToGrid/>
              <w:jc w:val="left"/>
              <w:rPr>
                <w:szCs w:val="24"/>
              </w:rPr>
            </w:pPr>
            <w:r>
              <w:rPr>
                <w:rFonts w:hint="eastAsia"/>
                <w:szCs w:val="24"/>
              </w:rPr>
              <w:t>（按功用及内部物体分类）</w:t>
            </w:r>
          </w:p>
        </w:tc>
        <w:tc>
          <w:tcPr>
            <w:tcW w:w="5049" w:type="dxa"/>
            <w:vAlign w:val="center"/>
          </w:tcPr>
          <w:p>
            <w:pPr>
              <w:ind w:firstLine="1980" w:firstLineChars="1100"/>
              <w:rPr>
                <w:sz w:val="18"/>
              </w:rPr>
            </w:pPr>
            <w:r>
              <w:rPr>
                <w:rFonts w:hint="eastAsia"/>
                <w:sz w:val="18"/>
              </w:rPr>
              <w:t>雷电的影响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住宅</w:t>
            </w:r>
          </w:p>
        </w:tc>
        <w:tc>
          <w:tcPr>
            <w:tcW w:w="5049" w:type="dxa"/>
            <w:vAlign w:val="center"/>
          </w:tcPr>
          <w:p>
            <w:pPr>
              <w:rPr>
                <w:sz w:val="18"/>
              </w:rPr>
            </w:pPr>
            <w:r>
              <w:rPr>
                <w:rFonts w:hint="eastAsia"/>
                <w:sz w:val="18"/>
              </w:rPr>
              <w:t>电气装置击穿、火灾或材料损坏。</w:t>
            </w:r>
          </w:p>
          <w:p>
            <w:pPr>
              <w:rPr>
                <w:sz w:val="18"/>
              </w:rPr>
            </w:pPr>
            <w:r>
              <w:rPr>
                <w:rFonts w:hint="eastAsia"/>
                <w:sz w:val="18"/>
              </w:rPr>
              <w:t>损害通常限于暴露于雷击点或暴露于雷电流通道的对象。</w:t>
            </w:r>
          </w:p>
          <w:p>
            <w:pPr>
              <w:rPr>
                <w:sz w:val="18"/>
              </w:rPr>
            </w:pPr>
            <w:r>
              <w:rPr>
                <w:rFonts w:hint="eastAsia"/>
                <w:sz w:val="18"/>
              </w:rPr>
              <w:t>装设的电气、电子设备和系统失效（如电视机、计算机、调制解调器、电话等）。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农舍</w:t>
            </w:r>
          </w:p>
        </w:tc>
        <w:tc>
          <w:tcPr>
            <w:tcW w:w="5049" w:type="dxa"/>
            <w:vAlign w:val="center"/>
          </w:tcPr>
          <w:p>
            <w:pPr>
              <w:rPr>
                <w:sz w:val="18"/>
              </w:rPr>
            </w:pPr>
            <w:r>
              <w:rPr>
                <w:rFonts w:hint="eastAsia"/>
                <w:sz w:val="18"/>
              </w:rPr>
              <w:t>火灾、危险的跨步电压以及材料损坏是首要的风险。</w:t>
            </w:r>
          </w:p>
          <w:p>
            <w:pPr>
              <w:rPr>
                <w:sz w:val="18"/>
              </w:rPr>
            </w:pPr>
            <w:r>
              <w:rPr>
                <w:rFonts w:hint="eastAsia"/>
                <w:sz w:val="18"/>
              </w:rPr>
              <w:t>次要的风险是由于电源断电，通风系统、饲料供应系统电子控制失效等，使牲畜生命受到伤害。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剧院、宾馆、学校、</w:t>
            </w:r>
          </w:p>
          <w:p>
            <w:pPr>
              <w:jc w:val="center"/>
              <w:rPr>
                <w:sz w:val="18"/>
              </w:rPr>
            </w:pPr>
            <w:r>
              <w:rPr>
                <w:rFonts w:hint="eastAsia"/>
                <w:sz w:val="18"/>
              </w:rPr>
              <w:t>百货商店、运动场</w:t>
            </w:r>
          </w:p>
        </w:tc>
        <w:tc>
          <w:tcPr>
            <w:tcW w:w="5049" w:type="dxa"/>
            <w:vAlign w:val="center"/>
          </w:tcPr>
          <w:p>
            <w:pPr>
              <w:rPr>
                <w:sz w:val="18"/>
              </w:rPr>
            </w:pPr>
            <w:r>
              <w:rPr>
                <w:rFonts w:hint="eastAsia"/>
                <w:sz w:val="18"/>
              </w:rPr>
              <w:t>电气装置损坏（如电灯照明）很可能导致恐慌。</w:t>
            </w:r>
          </w:p>
          <w:p>
            <w:pPr>
              <w:rPr>
                <w:sz w:val="18"/>
              </w:rPr>
            </w:pPr>
            <w:r>
              <w:rPr>
                <w:rFonts w:hint="eastAsia"/>
                <w:sz w:val="18"/>
              </w:rPr>
              <w:t>火警失效使消防延误。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银行、保险公司、</w:t>
            </w:r>
          </w:p>
          <w:p>
            <w:pPr>
              <w:jc w:val="center"/>
              <w:rPr>
                <w:sz w:val="18"/>
              </w:rPr>
            </w:pPr>
            <w:r>
              <w:rPr>
                <w:rFonts w:hint="eastAsia"/>
                <w:sz w:val="18"/>
              </w:rPr>
              <w:t>商业公司等</w:t>
            </w:r>
          </w:p>
        </w:tc>
        <w:tc>
          <w:tcPr>
            <w:tcW w:w="5049" w:type="dxa"/>
            <w:vAlign w:val="center"/>
          </w:tcPr>
          <w:p>
            <w:pPr>
              <w:rPr>
                <w:sz w:val="18"/>
              </w:rPr>
            </w:pPr>
            <w:r>
              <w:rPr>
                <w:rFonts w:hint="eastAsia"/>
                <w:sz w:val="18"/>
              </w:rPr>
              <w:t>同上，还有通信不畅、计算机失效和数据丢失所产生的问题。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医院、疗养院、监狱</w:t>
            </w:r>
          </w:p>
        </w:tc>
        <w:tc>
          <w:tcPr>
            <w:tcW w:w="5049" w:type="dxa"/>
            <w:vAlign w:val="center"/>
          </w:tcPr>
          <w:p>
            <w:pPr>
              <w:rPr>
                <w:sz w:val="18"/>
              </w:rPr>
            </w:pPr>
            <w:r>
              <w:rPr>
                <w:rFonts w:hint="eastAsia"/>
                <w:sz w:val="18"/>
              </w:rPr>
              <w:t>同上，还有特护人员问题，行动不便人员的救援困难等。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工厂</w:t>
            </w:r>
          </w:p>
        </w:tc>
        <w:tc>
          <w:tcPr>
            <w:tcW w:w="5049" w:type="dxa"/>
            <w:vAlign w:val="center"/>
          </w:tcPr>
          <w:p>
            <w:pPr>
              <w:rPr>
                <w:sz w:val="18"/>
              </w:rPr>
            </w:pPr>
            <w:r>
              <w:rPr>
                <w:rFonts w:hint="eastAsia"/>
                <w:sz w:val="18"/>
              </w:rPr>
              <w:t>额外的影响取决于工厂的内部物体，影响范围从轻微的损害到不可接受损害和停产。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rFonts w:ascii="Times New Roman"/>
                <w:sz w:val="18"/>
                <w:szCs w:val="24"/>
              </w:rPr>
            </w:pPr>
            <w:r>
              <w:rPr>
                <w:rFonts w:hint="eastAsia"/>
                <w:sz w:val="18"/>
              </w:rPr>
              <w:t>博物馆、古迹、教堂</w:t>
            </w:r>
          </w:p>
        </w:tc>
        <w:tc>
          <w:tcPr>
            <w:tcW w:w="5049" w:type="dxa"/>
            <w:vAlign w:val="center"/>
          </w:tcPr>
          <w:p>
            <w:pPr>
              <w:rPr>
                <w:sz w:val="18"/>
              </w:rPr>
            </w:pPr>
            <w:bookmarkStart w:id="0" w:name="_Toc113264028"/>
            <w:bookmarkStart w:id="1" w:name="_Toc112838540"/>
            <w:bookmarkStart w:id="2" w:name="_Toc112838470"/>
            <w:bookmarkStart w:id="3" w:name="_Toc112840684"/>
            <w:bookmarkStart w:id="4" w:name="_Toc112840318"/>
            <w:bookmarkStart w:id="5" w:name="_Toc113264332"/>
            <w:bookmarkStart w:id="6" w:name="_Toc113173894"/>
            <w:bookmarkStart w:id="7" w:name="_Toc112838988"/>
            <w:bookmarkStart w:id="8" w:name="_Toc113174066"/>
            <w:bookmarkStart w:id="9" w:name="_Toc112840715"/>
            <w:bookmarkStart w:id="10" w:name="_Toc113172991"/>
            <w:r>
              <w:rPr>
                <w:rFonts w:hint="eastAsia"/>
                <w:sz w:val="18"/>
              </w:rPr>
              <w:t>不可替代的文化遗产的损失。</w:t>
            </w:r>
            <w:bookmarkEnd w:id="0"/>
            <w:bookmarkEnd w:id="1"/>
            <w:bookmarkEnd w:id="2"/>
            <w:bookmarkEnd w:id="3"/>
            <w:bookmarkEnd w:id="4"/>
            <w:bookmarkEnd w:id="5"/>
            <w:bookmarkEnd w:id="6"/>
            <w:bookmarkEnd w:id="7"/>
            <w:bookmarkEnd w:id="8"/>
            <w:bookmarkEnd w:id="9"/>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电信、电厂</w:t>
            </w:r>
          </w:p>
        </w:tc>
        <w:tc>
          <w:tcPr>
            <w:tcW w:w="5049" w:type="dxa"/>
            <w:vAlign w:val="center"/>
          </w:tcPr>
          <w:p>
            <w:pPr>
              <w:rPr>
                <w:sz w:val="18"/>
              </w:rPr>
            </w:pPr>
            <w:r>
              <w:rPr>
                <w:rFonts w:hint="eastAsia"/>
                <w:sz w:val="18"/>
              </w:rPr>
              <w:t>公共服务设施不可接受的损失。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烟花厂、军火厂</w:t>
            </w:r>
          </w:p>
        </w:tc>
        <w:tc>
          <w:tcPr>
            <w:tcW w:w="5049" w:type="dxa"/>
            <w:vAlign w:val="center"/>
          </w:tcPr>
          <w:p>
            <w:pPr>
              <w:rPr>
                <w:sz w:val="18"/>
              </w:rPr>
            </w:pPr>
            <w:r>
              <w:rPr>
                <w:rFonts w:hint="eastAsia"/>
                <w:sz w:val="18"/>
              </w:rPr>
              <w:t>火灾和爆炸危及工厂和四邻。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2186" w:type="dxa"/>
            <w:vAlign w:val="center"/>
          </w:tcPr>
          <w:p>
            <w:pPr>
              <w:jc w:val="center"/>
              <w:rPr>
                <w:sz w:val="18"/>
              </w:rPr>
            </w:pPr>
            <w:r>
              <w:rPr>
                <w:rFonts w:hint="eastAsia"/>
                <w:sz w:val="18"/>
              </w:rPr>
              <w:t>化工厂、冶炼厂、核工厂、生化实验室和工厂</w:t>
            </w:r>
          </w:p>
        </w:tc>
        <w:tc>
          <w:tcPr>
            <w:tcW w:w="5049" w:type="dxa"/>
            <w:vAlign w:val="center"/>
          </w:tcPr>
          <w:p>
            <w:pPr>
              <w:rPr>
                <w:sz w:val="18"/>
              </w:rPr>
            </w:pPr>
            <w:r>
              <w:rPr>
                <w:rFonts w:hint="eastAsia"/>
                <w:sz w:val="18"/>
              </w:rPr>
              <w:t>工厂发生火灾和故障给当地和全球环境带来不利的后果。</w:t>
            </w:r>
          </w:p>
        </w:tc>
      </w:tr>
    </w:tbl>
    <w:p>
      <w:pPr>
        <w:pStyle w:val="8"/>
        <w:spacing w:line="400" w:lineRule="exact"/>
        <w:ind w:left="400" w:firstLine="0" w:firstLineChars="0"/>
        <w:jc w:val="left"/>
        <w:rPr>
          <w:rFonts w:ascii="Times New Roman" w:hAnsi="Times New Roman" w:eastAsia="黑体"/>
          <w:color w:val="000000"/>
          <w:sz w:val="24"/>
          <w:szCs w:val="24"/>
        </w:rPr>
      </w:pP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8"/>
        <w:spacing w:line="400" w:lineRule="exact"/>
        <w:ind w:left="400"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简述不同雷击点导致建筑物的损害和损失。</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7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2451"/>
        <w:gridCol w:w="975"/>
        <w:gridCol w:w="975"/>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50" w:type="dxa"/>
            <w:vAlign w:val="center"/>
          </w:tcPr>
          <w:p>
            <w:pPr>
              <w:spacing w:line="360" w:lineRule="auto"/>
              <w:jc w:val="center"/>
              <w:rPr>
                <w:sz w:val="18"/>
                <w:szCs w:val="21"/>
              </w:rPr>
            </w:pPr>
            <w:r>
              <w:rPr>
                <w:rFonts w:hint="eastAsia"/>
                <w:sz w:val="18"/>
                <w:szCs w:val="21"/>
              </w:rPr>
              <w:t>雷击点</w:t>
            </w:r>
          </w:p>
        </w:tc>
        <w:tc>
          <w:tcPr>
            <w:tcW w:w="2451" w:type="dxa"/>
            <w:vAlign w:val="center"/>
          </w:tcPr>
          <w:p>
            <w:pPr>
              <w:spacing w:line="360" w:lineRule="auto"/>
              <w:jc w:val="center"/>
              <w:rPr>
                <w:sz w:val="18"/>
                <w:szCs w:val="21"/>
              </w:rPr>
            </w:pPr>
            <w:r>
              <w:rPr>
                <w:rFonts w:hint="eastAsia"/>
                <w:sz w:val="18"/>
                <w:szCs w:val="21"/>
              </w:rPr>
              <w:t>图例</w:t>
            </w:r>
          </w:p>
        </w:tc>
        <w:tc>
          <w:tcPr>
            <w:tcW w:w="975" w:type="dxa"/>
            <w:vAlign w:val="center"/>
          </w:tcPr>
          <w:p>
            <w:pPr>
              <w:spacing w:line="360" w:lineRule="auto"/>
              <w:jc w:val="center"/>
              <w:rPr>
                <w:sz w:val="18"/>
                <w:szCs w:val="21"/>
              </w:rPr>
            </w:pPr>
            <w:r>
              <w:rPr>
                <w:rFonts w:hint="eastAsia"/>
                <w:sz w:val="18"/>
                <w:szCs w:val="21"/>
              </w:rPr>
              <w:t>损害源</w:t>
            </w:r>
          </w:p>
        </w:tc>
        <w:tc>
          <w:tcPr>
            <w:tcW w:w="975" w:type="dxa"/>
            <w:vAlign w:val="center"/>
          </w:tcPr>
          <w:p>
            <w:pPr>
              <w:spacing w:line="360" w:lineRule="auto"/>
              <w:jc w:val="center"/>
              <w:rPr>
                <w:sz w:val="18"/>
                <w:szCs w:val="21"/>
              </w:rPr>
            </w:pPr>
            <w:r>
              <w:rPr>
                <w:rFonts w:hint="eastAsia"/>
                <w:sz w:val="18"/>
                <w:szCs w:val="21"/>
              </w:rPr>
              <w:t>损害类型</w:t>
            </w:r>
          </w:p>
        </w:tc>
        <w:tc>
          <w:tcPr>
            <w:tcW w:w="1753" w:type="dxa"/>
            <w:vAlign w:val="center"/>
          </w:tcPr>
          <w:p>
            <w:pPr>
              <w:spacing w:line="360" w:lineRule="auto"/>
              <w:jc w:val="center"/>
              <w:rPr>
                <w:sz w:val="18"/>
                <w:szCs w:val="21"/>
              </w:rPr>
            </w:pPr>
            <w:r>
              <w:rPr>
                <w:rFonts w:hint="eastAsia"/>
                <w:sz w:val="18"/>
                <w:szCs w:val="21"/>
              </w:rPr>
              <w:t>损失类型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6" w:hRule="atLeast"/>
          <w:jc w:val="center"/>
        </w:trPr>
        <w:tc>
          <w:tcPr>
            <w:tcW w:w="1450" w:type="dxa"/>
            <w:vAlign w:val="center"/>
          </w:tcPr>
          <w:p>
            <w:pPr>
              <w:spacing w:line="360" w:lineRule="auto"/>
              <w:jc w:val="center"/>
              <w:rPr>
                <w:sz w:val="18"/>
                <w:szCs w:val="21"/>
              </w:rPr>
            </w:pPr>
            <w:r>
              <w:rPr>
                <w:rFonts w:hint="eastAsia"/>
                <w:sz w:val="18"/>
                <w:szCs w:val="21"/>
              </w:rPr>
              <w:t>建筑物</w:t>
            </w:r>
          </w:p>
        </w:tc>
        <w:tc>
          <w:tcPr>
            <w:tcW w:w="2451" w:type="dxa"/>
            <w:vAlign w:val="center"/>
          </w:tcPr>
          <w:p>
            <w:pPr>
              <w:adjustRightInd w:val="0"/>
              <w:snapToGrid w:val="0"/>
              <w:spacing w:line="360" w:lineRule="auto"/>
              <w:jc w:val="center"/>
              <w:rPr>
                <w:sz w:val="18"/>
                <w:szCs w:val="21"/>
              </w:rPr>
            </w:pPr>
            <w:r>
              <w:rPr>
                <w:rFonts w:hint="eastAsia"/>
                <w:sz w:val="18"/>
                <w:szCs w:val="21"/>
              </w:rPr>
              <w:drawing>
                <wp:inline distT="0" distB="0" distL="114300" distR="114300">
                  <wp:extent cx="1323975" cy="895350"/>
                  <wp:effectExtent l="0" t="0" r="9525" b="0"/>
                  <wp:docPr id="1843"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 name="图片 108"/>
                          <pic:cNvPicPr>
                            <a:picLocks noChangeAspect="1"/>
                          </pic:cNvPicPr>
                        </pic:nvPicPr>
                        <pic:blipFill>
                          <a:blip r:embed="rId4"/>
                          <a:stretch>
                            <a:fillRect/>
                          </a:stretch>
                        </pic:blipFill>
                        <pic:spPr>
                          <a:xfrm>
                            <a:off x="0" y="0"/>
                            <a:ext cx="1323975" cy="895350"/>
                          </a:xfrm>
                          <a:prstGeom prst="rect">
                            <a:avLst/>
                          </a:prstGeom>
                          <a:noFill/>
                          <a:ln>
                            <a:noFill/>
                          </a:ln>
                        </pic:spPr>
                      </pic:pic>
                    </a:graphicData>
                  </a:graphic>
                </wp:inline>
              </w:drawing>
            </w:r>
          </w:p>
        </w:tc>
        <w:tc>
          <w:tcPr>
            <w:tcW w:w="975" w:type="dxa"/>
            <w:vAlign w:val="center"/>
          </w:tcPr>
          <w:p>
            <w:pPr>
              <w:spacing w:line="360" w:lineRule="auto"/>
              <w:jc w:val="center"/>
              <w:rPr>
                <w:sz w:val="18"/>
                <w:szCs w:val="21"/>
              </w:rPr>
            </w:pPr>
            <w:r>
              <w:rPr>
                <w:rFonts w:hint="eastAsia"/>
                <w:sz w:val="18"/>
                <w:szCs w:val="21"/>
              </w:rPr>
              <w:t>S</w:t>
            </w:r>
            <w:r>
              <w:rPr>
                <w:rFonts w:hint="eastAsia"/>
                <w:sz w:val="18"/>
                <w:szCs w:val="21"/>
                <w:vertAlign w:val="subscript"/>
              </w:rPr>
              <w:t>1</w:t>
            </w:r>
          </w:p>
        </w:tc>
        <w:tc>
          <w:tcPr>
            <w:tcW w:w="975" w:type="dxa"/>
            <w:vAlign w:val="center"/>
          </w:tcPr>
          <w:p>
            <w:pPr>
              <w:spacing w:line="360" w:lineRule="auto"/>
              <w:jc w:val="center"/>
              <w:rPr>
                <w:sz w:val="18"/>
                <w:szCs w:val="21"/>
              </w:rPr>
            </w:pPr>
            <w:r>
              <w:rPr>
                <w:rFonts w:hint="eastAsia"/>
                <w:sz w:val="18"/>
                <w:szCs w:val="21"/>
              </w:rPr>
              <w:t>D</w:t>
            </w:r>
            <w:r>
              <w:rPr>
                <w:rFonts w:hint="eastAsia"/>
                <w:sz w:val="18"/>
                <w:szCs w:val="21"/>
                <w:vertAlign w:val="subscript"/>
              </w:rPr>
              <w:t>1</w:t>
            </w:r>
          </w:p>
          <w:p>
            <w:pPr>
              <w:spacing w:line="360" w:lineRule="auto"/>
              <w:jc w:val="center"/>
              <w:rPr>
                <w:sz w:val="18"/>
                <w:szCs w:val="21"/>
              </w:rPr>
            </w:pPr>
            <w:r>
              <w:rPr>
                <w:rFonts w:hint="eastAsia"/>
                <w:sz w:val="18"/>
                <w:szCs w:val="21"/>
              </w:rPr>
              <w:t>D</w:t>
            </w:r>
            <w:r>
              <w:rPr>
                <w:rFonts w:hint="eastAsia"/>
                <w:sz w:val="18"/>
                <w:szCs w:val="21"/>
                <w:vertAlign w:val="subscript"/>
              </w:rPr>
              <w:t>2</w:t>
            </w:r>
          </w:p>
          <w:p>
            <w:pPr>
              <w:spacing w:line="360" w:lineRule="auto"/>
              <w:jc w:val="center"/>
              <w:rPr>
                <w:sz w:val="18"/>
                <w:szCs w:val="21"/>
              </w:rPr>
            </w:pPr>
            <w:r>
              <w:rPr>
                <w:rFonts w:hint="eastAsia"/>
                <w:sz w:val="18"/>
                <w:szCs w:val="21"/>
              </w:rPr>
              <w:t>D</w:t>
            </w:r>
            <w:r>
              <w:rPr>
                <w:rFonts w:hint="eastAsia"/>
                <w:sz w:val="18"/>
                <w:szCs w:val="21"/>
                <w:vertAlign w:val="subscript"/>
              </w:rPr>
              <w:t>3</w:t>
            </w:r>
          </w:p>
        </w:tc>
        <w:tc>
          <w:tcPr>
            <w:tcW w:w="1753" w:type="dxa"/>
            <w:vAlign w:val="center"/>
          </w:tcPr>
          <w:p>
            <w:pPr>
              <w:spacing w:line="360" w:lineRule="auto"/>
              <w:jc w:val="center"/>
              <w:rPr>
                <w:sz w:val="18"/>
                <w:szCs w:val="21"/>
                <w:vertAlign w:val="superscript"/>
              </w:rPr>
            </w:pPr>
            <w:r>
              <w:rPr>
                <w:rFonts w:hint="eastAsia"/>
                <w:sz w:val="18"/>
                <w:szCs w:val="21"/>
              </w:rPr>
              <w:t>L</w:t>
            </w:r>
            <w:r>
              <w:rPr>
                <w:rFonts w:hint="eastAsia"/>
                <w:sz w:val="18"/>
                <w:szCs w:val="21"/>
                <w:vertAlign w:val="subscript"/>
              </w:rPr>
              <w:t>1</w:t>
            </w:r>
            <w:r>
              <w:rPr>
                <w:rFonts w:hint="eastAsia"/>
                <w:sz w:val="18"/>
                <w:szCs w:val="21"/>
              </w:rPr>
              <w:t>，</w:t>
            </w:r>
            <w:r>
              <w:rPr>
                <w:rFonts w:hint="eastAsia"/>
                <w:sz w:val="18"/>
                <w:szCs w:val="21"/>
                <w:vertAlign w:val="subscript"/>
              </w:rPr>
              <w:t xml:space="preserve"> </w:t>
            </w:r>
            <w:r>
              <w:rPr>
                <w:rFonts w:hint="eastAsia"/>
                <w:sz w:val="18"/>
                <w:szCs w:val="21"/>
              </w:rPr>
              <w:t>L</w:t>
            </w:r>
            <w:r>
              <w:rPr>
                <w:rFonts w:hint="eastAsia"/>
                <w:sz w:val="18"/>
                <w:szCs w:val="21"/>
                <w:vertAlign w:val="subscript"/>
              </w:rPr>
              <w:t>4</w:t>
            </w:r>
            <w:r>
              <w:rPr>
                <w:rFonts w:hint="eastAsia"/>
                <w:sz w:val="18"/>
                <w:szCs w:val="21"/>
                <w:vertAlign w:val="superscript"/>
              </w:rPr>
              <w:t>**</w:t>
            </w:r>
          </w:p>
          <w:p>
            <w:pPr>
              <w:spacing w:line="360" w:lineRule="auto"/>
              <w:jc w:val="center"/>
              <w:rPr>
                <w:sz w:val="18"/>
                <w:szCs w:val="21"/>
              </w:rPr>
            </w:pPr>
            <w:r>
              <w:rPr>
                <w:rFonts w:hint="eastAsia"/>
                <w:sz w:val="18"/>
                <w:szCs w:val="21"/>
              </w:rPr>
              <w:t>L</w:t>
            </w:r>
            <w:r>
              <w:rPr>
                <w:rFonts w:hint="eastAsia"/>
                <w:sz w:val="18"/>
                <w:szCs w:val="21"/>
                <w:vertAlign w:val="subscript"/>
              </w:rPr>
              <w:t>1</w:t>
            </w:r>
            <w:r>
              <w:rPr>
                <w:rFonts w:hint="eastAsia"/>
                <w:sz w:val="18"/>
                <w:szCs w:val="21"/>
              </w:rPr>
              <w:t>，L</w:t>
            </w:r>
            <w:r>
              <w:rPr>
                <w:rFonts w:hint="eastAsia"/>
                <w:sz w:val="18"/>
                <w:szCs w:val="21"/>
                <w:vertAlign w:val="subscript"/>
              </w:rPr>
              <w:t>2</w:t>
            </w:r>
            <w:r>
              <w:rPr>
                <w:rFonts w:hint="eastAsia"/>
                <w:sz w:val="18"/>
                <w:szCs w:val="21"/>
              </w:rPr>
              <w:t>，L</w:t>
            </w:r>
            <w:r>
              <w:rPr>
                <w:rFonts w:hint="eastAsia"/>
                <w:sz w:val="18"/>
                <w:szCs w:val="21"/>
                <w:vertAlign w:val="subscript"/>
              </w:rPr>
              <w:t>3</w:t>
            </w:r>
            <w:r>
              <w:rPr>
                <w:rFonts w:hint="eastAsia"/>
                <w:sz w:val="18"/>
                <w:szCs w:val="21"/>
              </w:rPr>
              <w:t>，L</w:t>
            </w:r>
            <w:r>
              <w:rPr>
                <w:rFonts w:hint="eastAsia"/>
                <w:sz w:val="18"/>
                <w:szCs w:val="21"/>
                <w:vertAlign w:val="subscript"/>
              </w:rPr>
              <w:t>4</w:t>
            </w:r>
          </w:p>
          <w:p>
            <w:pPr>
              <w:spacing w:line="360" w:lineRule="auto"/>
              <w:jc w:val="center"/>
              <w:rPr>
                <w:sz w:val="18"/>
                <w:szCs w:val="21"/>
              </w:rPr>
            </w:pPr>
            <w:r>
              <w:rPr>
                <w:rFonts w:hint="eastAsia"/>
                <w:sz w:val="18"/>
                <w:szCs w:val="21"/>
              </w:rPr>
              <w:t>L</w:t>
            </w:r>
            <w:r>
              <w:rPr>
                <w:rFonts w:hint="eastAsia"/>
                <w:sz w:val="18"/>
                <w:szCs w:val="21"/>
                <w:vertAlign w:val="subscript"/>
              </w:rPr>
              <w:t>1</w:t>
            </w:r>
            <w:r>
              <w:rPr>
                <w:rFonts w:hint="eastAsia"/>
                <w:sz w:val="18"/>
                <w:szCs w:val="21"/>
                <w:vertAlign w:val="superscript"/>
              </w:rPr>
              <w:t>*</w:t>
            </w:r>
            <w:r>
              <w:rPr>
                <w:rFonts w:hint="eastAsia"/>
                <w:sz w:val="18"/>
                <w:szCs w:val="21"/>
              </w:rPr>
              <w:t>，L</w:t>
            </w:r>
            <w:r>
              <w:rPr>
                <w:rFonts w:hint="eastAsia"/>
                <w:sz w:val="18"/>
                <w:szCs w:val="21"/>
                <w:vertAlign w:val="subscript"/>
              </w:rPr>
              <w:t>2</w:t>
            </w:r>
            <w:r>
              <w:rPr>
                <w:rFonts w:hint="eastAsia"/>
                <w:sz w:val="18"/>
                <w:szCs w:val="21"/>
              </w:rPr>
              <w:t>，L</w:t>
            </w:r>
            <w:r>
              <w:rPr>
                <w:rFonts w:hint="eastAsia"/>
                <w:sz w:val="18"/>
                <w:szCs w:val="21"/>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1450" w:type="dxa"/>
            <w:vAlign w:val="center"/>
          </w:tcPr>
          <w:p>
            <w:pPr>
              <w:spacing w:line="360" w:lineRule="auto"/>
              <w:jc w:val="center"/>
              <w:rPr>
                <w:sz w:val="18"/>
                <w:szCs w:val="21"/>
              </w:rPr>
            </w:pPr>
            <w:r>
              <w:rPr>
                <w:rFonts w:hint="eastAsia"/>
                <w:sz w:val="18"/>
                <w:szCs w:val="21"/>
              </w:rPr>
              <w:t>建筑物附近</w:t>
            </w:r>
          </w:p>
        </w:tc>
        <w:tc>
          <w:tcPr>
            <w:tcW w:w="2451" w:type="dxa"/>
            <w:vAlign w:val="center"/>
          </w:tcPr>
          <w:p>
            <w:pPr>
              <w:adjustRightInd w:val="0"/>
              <w:snapToGrid w:val="0"/>
              <w:spacing w:line="360" w:lineRule="auto"/>
              <w:jc w:val="center"/>
              <w:rPr>
                <w:sz w:val="18"/>
                <w:szCs w:val="21"/>
              </w:rPr>
            </w:pPr>
            <w:r>
              <w:rPr>
                <w:rFonts w:hint="eastAsia"/>
                <w:sz w:val="18"/>
                <w:szCs w:val="21"/>
              </w:rPr>
              <w:drawing>
                <wp:inline distT="0" distB="0" distL="114300" distR="114300">
                  <wp:extent cx="1285875" cy="866775"/>
                  <wp:effectExtent l="0" t="0" r="9525" b="9525"/>
                  <wp:docPr id="1844"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 name="图片 109"/>
                          <pic:cNvPicPr>
                            <a:picLocks noChangeAspect="1"/>
                          </pic:cNvPicPr>
                        </pic:nvPicPr>
                        <pic:blipFill>
                          <a:blip r:embed="rId5"/>
                          <a:stretch>
                            <a:fillRect/>
                          </a:stretch>
                        </pic:blipFill>
                        <pic:spPr>
                          <a:xfrm>
                            <a:off x="0" y="0"/>
                            <a:ext cx="1285875" cy="866775"/>
                          </a:xfrm>
                          <a:prstGeom prst="rect">
                            <a:avLst/>
                          </a:prstGeom>
                          <a:noFill/>
                          <a:ln>
                            <a:noFill/>
                          </a:ln>
                        </pic:spPr>
                      </pic:pic>
                    </a:graphicData>
                  </a:graphic>
                </wp:inline>
              </w:drawing>
            </w:r>
          </w:p>
        </w:tc>
        <w:tc>
          <w:tcPr>
            <w:tcW w:w="975" w:type="dxa"/>
            <w:vAlign w:val="center"/>
          </w:tcPr>
          <w:p>
            <w:pPr>
              <w:spacing w:line="360" w:lineRule="auto"/>
              <w:jc w:val="center"/>
              <w:rPr>
                <w:sz w:val="18"/>
                <w:szCs w:val="21"/>
              </w:rPr>
            </w:pPr>
            <w:r>
              <w:rPr>
                <w:rFonts w:hint="eastAsia"/>
                <w:sz w:val="18"/>
                <w:szCs w:val="21"/>
              </w:rPr>
              <w:t>S</w:t>
            </w:r>
            <w:r>
              <w:rPr>
                <w:rFonts w:hint="eastAsia"/>
                <w:sz w:val="18"/>
                <w:szCs w:val="21"/>
                <w:vertAlign w:val="subscript"/>
              </w:rPr>
              <w:t>2</w:t>
            </w:r>
          </w:p>
        </w:tc>
        <w:tc>
          <w:tcPr>
            <w:tcW w:w="975" w:type="dxa"/>
            <w:vAlign w:val="center"/>
          </w:tcPr>
          <w:p>
            <w:pPr>
              <w:spacing w:line="360" w:lineRule="auto"/>
              <w:jc w:val="center"/>
              <w:rPr>
                <w:sz w:val="18"/>
                <w:szCs w:val="21"/>
                <w:vertAlign w:val="superscript"/>
              </w:rPr>
            </w:pPr>
            <w:r>
              <w:rPr>
                <w:rFonts w:hint="eastAsia"/>
                <w:sz w:val="18"/>
                <w:szCs w:val="21"/>
              </w:rPr>
              <w:t>D</w:t>
            </w:r>
            <w:r>
              <w:rPr>
                <w:rFonts w:hint="eastAsia"/>
                <w:sz w:val="18"/>
                <w:szCs w:val="21"/>
                <w:vertAlign w:val="subscript"/>
              </w:rPr>
              <w:t>3</w:t>
            </w:r>
          </w:p>
        </w:tc>
        <w:tc>
          <w:tcPr>
            <w:tcW w:w="1753" w:type="dxa"/>
            <w:vAlign w:val="center"/>
          </w:tcPr>
          <w:p>
            <w:pPr>
              <w:spacing w:line="360" w:lineRule="auto"/>
              <w:jc w:val="center"/>
              <w:rPr>
                <w:sz w:val="18"/>
                <w:szCs w:val="21"/>
              </w:rPr>
            </w:pPr>
            <w:r>
              <w:rPr>
                <w:rFonts w:hint="eastAsia"/>
                <w:sz w:val="18"/>
                <w:szCs w:val="21"/>
              </w:rPr>
              <w:t>L</w:t>
            </w:r>
            <w:r>
              <w:rPr>
                <w:rFonts w:hint="eastAsia"/>
                <w:sz w:val="18"/>
                <w:szCs w:val="21"/>
                <w:vertAlign w:val="subscript"/>
              </w:rPr>
              <w:t>1</w:t>
            </w:r>
            <w:r>
              <w:rPr>
                <w:rFonts w:hint="eastAsia"/>
                <w:sz w:val="18"/>
                <w:szCs w:val="21"/>
                <w:vertAlign w:val="superscript"/>
              </w:rPr>
              <w:t>*</w:t>
            </w:r>
            <w:r>
              <w:rPr>
                <w:rFonts w:hint="eastAsia"/>
                <w:sz w:val="18"/>
                <w:szCs w:val="21"/>
              </w:rPr>
              <w:t>，L</w:t>
            </w:r>
            <w:r>
              <w:rPr>
                <w:rFonts w:hint="eastAsia"/>
                <w:sz w:val="18"/>
                <w:szCs w:val="21"/>
                <w:vertAlign w:val="subscript"/>
              </w:rPr>
              <w:t>2</w:t>
            </w:r>
            <w:r>
              <w:rPr>
                <w:rFonts w:hint="eastAsia"/>
                <w:sz w:val="18"/>
                <w:szCs w:val="21"/>
              </w:rPr>
              <w:t xml:space="preserve"> ，L</w:t>
            </w:r>
            <w:r>
              <w:rPr>
                <w:rFonts w:hint="eastAsia"/>
                <w:sz w:val="18"/>
                <w:szCs w:val="21"/>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1450" w:type="dxa"/>
            <w:vAlign w:val="center"/>
          </w:tcPr>
          <w:p>
            <w:pPr>
              <w:spacing w:line="360" w:lineRule="auto"/>
              <w:jc w:val="center"/>
              <w:rPr>
                <w:sz w:val="18"/>
                <w:szCs w:val="21"/>
              </w:rPr>
            </w:pPr>
            <w:r>
              <w:rPr>
                <w:rFonts w:hint="eastAsia"/>
                <w:sz w:val="18"/>
                <w:szCs w:val="21"/>
              </w:rPr>
              <w:t>连接到建筑物的服务设施</w:t>
            </w:r>
          </w:p>
        </w:tc>
        <w:tc>
          <w:tcPr>
            <w:tcW w:w="2451" w:type="dxa"/>
            <w:vAlign w:val="center"/>
          </w:tcPr>
          <w:p>
            <w:pPr>
              <w:adjustRightInd w:val="0"/>
              <w:snapToGrid w:val="0"/>
              <w:spacing w:line="360" w:lineRule="auto"/>
              <w:jc w:val="center"/>
              <w:rPr>
                <w:sz w:val="18"/>
                <w:szCs w:val="21"/>
              </w:rPr>
            </w:pPr>
            <w:r>
              <w:rPr>
                <w:rFonts w:hint="eastAsia"/>
                <w:sz w:val="18"/>
                <w:szCs w:val="21"/>
              </w:rPr>
              <w:drawing>
                <wp:inline distT="0" distB="0" distL="114300" distR="114300">
                  <wp:extent cx="1362075" cy="876300"/>
                  <wp:effectExtent l="0" t="0" r="9525" b="0"/>
                  <wp:docPr id="1845"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图片 110"/>
                          <pic:cNvPicPr>
                            <a:picLocks noChangeAspect="1"/>
                          </pic:cNvPicPr>
                        </pic:nvPicPr>
                        <pic:blipFill>
                          <a:blip r:embed="rId6"/>
                          <a:stretch>
                            <a:fillRect/>
                          </a:stretch>
                        </pic:blipFill>
                        <pic:spPr>
                          <a:xfrm>
                            <a:off x="0" y="0"/>
                            <a:ext cx="1362075" cy="876300"/>
                          </a:xfrm>
                          <a:prstGeom prst="rect">
                            <a:avLst/>
                          </a:prstGeom>
                          <a:noFill/>
                          <a:ln>
                            <a:noFill/>
                          </a:ln>
                        </pic:spPr>
                      </pic:pic>
                    </a:graphicData>
                  </a:graphic>
                </wp:inline>
              </w:drawing>
            </w:r>
          </w:p>
        </w:tc>
        <w:tc>
          <w:tcPr>
            <w:tcW w:w="975" w:type="dxa"/>
            <w:vAlign w:val="center"/>
          </w:tcPr>
          <w:p>
            <w:pPr>
              <w:spacing w:line="360" w:lineRule="auto"/>
              <w:jc w:val="center"/>
              <w:rPr>
                <w:sz w:val="18"/>
                <w:szCs w:val="21"/>
              </w:rPr>
            </w:pPr>
            <w:r>
              <w:rPr>
                <w:rFonts w:hint="eastAsia"/>
                <w:sz w:val="18"/>
                <w:szCs w:val="21"/>
              </w:rPr>
              <w:t>S3</w:t>
            </w:r>
          </w:p>
        </w:tc>
        <w:tc>
          <w:tcPr>
            <w:tcW w:w="975" w:type="dxa"/>
            <w:vAlign w:val="center"/>
          </w:tcPr>
          <w:p>
            <w:pPr>
              <w:spacing w:line="360" w:lineRule="auto"/>
              <w:jc w:val="center"/>
              <w:rPr>
                <w:sz w:val="18"/>
                <w:szCs w:val="21"/>
              </w:rPr>
            </w:pPr>
            <w:r>
              <w:rPr>
                <w:rFonts w:hint="eastAsia"/>
                <w:sz w:val="18"/>
                <w:szCs w:val="21"/>
              </w:rPr>
              <w:t>D</w:t>
            </w:r>
            <w:r>
              <w:rPr>
                <w:rFonts w:hint="eastAsia"/>
                <w:sz w:val="18"/>
                <w:szCs w:val="21"/>
                <w:vertAlign w:val="subscript"/>
              </w:rPr>
              <w:t>1</w:t>
            </w:r>
          </w:p>
          <w:p>
            <w:pPr>
              <w:spacing w:line="360" w:lineRule="auto"/>
              <w:jc w:val="center"/>
              <w:rPr>
                <w:sz w:val="18"/>
                <w:szCs w:val="21"/>
              </w:rPr>
            </w:pPr>
            <w:r>
              <w:rPr>
                <w:rFonts w:hint="eastAsia"/>
                <w:sz w:val="18"/>
                <w:szCs w:val="21"/>
              </w:rPr>
              <w:t>D</w:t>
            </w:r>
            <w:r>
              <w:rPr>
                <w:rFonts w:hint="eastAsia"/>
                <w:sz w:val="18"/>
                <w:szCs w:val="21"/>
                <w:vertAlign w:val="subscript"/>
              </w:rPr>
              <w:t>2</w:t>
            </w:r>
          </w:p>
          <w:p>
            <w:pPr>
              <w:spacing w:line="360" w:lineRule="auto"/>
              <w:jc w:val="center"/>
              <w:rPr>
                <w:sz w:val="18"/>
                <w:szCs w:val="21"/>
              </w:rPr>
            </w:pPr>
            <w:r>
              <w:rPr>
                <w:rFonts w:hint="eastAsia"/>
                <w:sz w:val="18"/>
                <w:szCs w:val="21"/>
              </w:rPr>
              <w:t>D</w:t>
            </w:r>
            <w:r>
              <w:rPr>
                <w:rFonts w:hint="eastAsia"/>
                <w:sz w:val="18"/>
                <w:szCs w:val="21"/>
                <w:vertAlign w:val="subscript"/>
              </w:rPr>
              <w:t>3</w:t>
            </w:r>
          </w:p>
        </w:tc>
        <w:tc>
          <w:tcPr>
            <w:tcW w:w="1753" w:type="dxa"/>
            <w:vAlign w:val="center"/>
          </w:tcPr>
          <w:p>
            <w:pPr>
              <w:spacing w:line="360" w:lineRule="auto"/>
              <w:jc w:val="center"/>
              <w:rPr>
                <w:sz w:val="18"/>
                <w:szCs w:val="21"/>
                <w:vertAlign w:val="superscript"/>
              </w:rPr>
            </w:pPr>
            <w:r>
              <w:rPr>
                <w:rFonts w:hint="eastAsia"/>
                <w:sz w:val="18"/>
                <w:szCs w:val="21"/>
              </w:rPr>
              <w:t>L</w:t>
            </w:r>
            <w:r>
              <w:rPr>
                <w:rFonts w:hint="eastAsia"/>
                <w:sz w:val="18"/>
                <w:szCs w:val="21"/>
                <w:vertAlign w:val="subscript"/>
              </w:rPr>
              <w:t>1</w:t>
            </w:r>
            <w:r>
              <w:rPr>
                <w:rFonts w:hint="eastAsia"/>
                <w:sz w:val="18"/>
                <w:szCs w:val="21"/>
              </w:rPr>
              <w:t>，</w:t>
            </w:r>
            <w:r>
              <w:rPr>
                <w:rFonts w:hint="eastAsia"/>
                <w:sz w:val="18"/>
                <w:szCs w:val="21"/>
                <w:vertAlign w:val="subscript"/>
              </w:rPr>
              <w:t xml:space="preserve"> </w:t>
            </w:r>
            <w:r>
              <w:rPr>
                <w:rFonts w:hint="eastAsia"/>
                <w:sz w:val="18"/>
                <w:szCs w:val="21"/>
              </w:rPr>
              <w:t>L</w:t>
            </w:r>
            <w:r>
              <w:rPr>
                <w:rFonts w:hint="eastAsia"/>
                <w:sz w:val="18"/>
                <w:szCs w:val="21"/>
                <w:vertAlign w:val="subscript"/>
              </w:rPr>
              <w:t>4</w:t>
            </w:r>
            <w:r>
              <w:rPr>
                <w:rFonts w:hint="eastAsia"/>
                <w:sz w:val="18"/>
                <w:szCs w:val="21"/>
                <w:vertAlign w:val="superscript"/>
              </w:rPr>
              <w:t>**</w:t>
            </w:r>
          </w:p>
          <w:p>
            <w:pPr>
              <w:spacing w:line="360" w:lineRule="auto"/>
              <w:jc w:val="center"/>
              <w:rPr>
                <w:sz w:val="18"/>
                <w:szCs w:val="21"/>
              </w:rPr>
            </w:pPr>
            <w:r>
              <w:rPr>
                <w:rFonts w:hint="eastAsia"/>
                <w:sz w:val="18"/>
                <w:szCs w:val="21"/>
              </w:rPr>
              <w:t>L</w:t>
            </w:r>
            <w:r>
              <w:rPr>
                <w:rFonts w:hint="eastAsia"/>
                <w:sz w:val="18"/>
                <w:szCs w:val="21"/>
                <w:vertAlign w:val="subscript"/>
              </w:rPr>
              <w:t>1</w:t>
            </w:r>
            <w:r>
              <w:rPr>
                <w:rFonts w:hint="eastAsia"/>
                <w:sz w:val="18"/>
                <w:szCs w:val="21"/>
              </w:rPr>
              <w:t>，L</w:t>
            </w:r>
            <w:r>
              <w:rPr>
                <w:rFonts w:hint="eastAsia"/>
                <w:sz w:val="18"/>
                <w:szCs w:val="21"/>
                <w:vertAlign w:val="subscript"/>
              </w:rPr>
              <w:t>2</w:t>
            </w:r>
            <w:r>
              <w:rPr>
                <w:rFonts w:hint="eastAsia"/>
                <w:sz w:val="18"/>
                <w:szCs w:val="21"/>
              </w:rPr>
              <w:t>，L</w:t>
            </w:r>
            <w:r>
              <w:rPr>
                <w:rFonts w:hint="eastAsia"/>
                <w:sz w:val="18"/>
                <w:szCs w:val="21"/>
                <w:vertAlign w:val="subscript"/>
              </w:rPr>
              <w:t>3</w:t>
            </w:r>
            <w:r>
              <w:rPr>
                <w:rFonts w:hint="eastAsia"/>
                <w:sz w:val="18"/>
                <w:szCs w:val="21"/>
              </w:rPr>
              <w:t>，L</w:t>
            </w:r>
            <w:r>
              <w:rPr>
                <w:rFonts w:hint="eastAsia"/>
                <w:sz w:val="18"/>
                <w:szCs w:val="21"/>
                <w:vertAlign w:val="subscript"/>
              </w:rPr>
              <w:t>4</w:t>
            </w:r>
          </w:p>
          <w:p>
            <w:pPr>
              <w:spacing w:line="360" w:lineRule="auto"/>
              <w:jc w:val="center"/>
              <w:rPr>
                <w:b/>
                <w:sz w:val="18"/>
                <w:szCs w:val="21"/>
              </w:rPr>
            </w:pPr>
            <w:r>
              <w:rPr>
                <w:rFonts w:hint="eastAsia"/>
                <w:sz w:val="18"/>
                <w:szCs w:val="21"/>
              </w:rPr>
              <w:t>L</w:t>
            </w:r>
            <w:r>
              <w:rPr>
                <w:rFonts w:hint="eastAsia"/>
                <w:sz w:val="18"/>
                <w:szCs w:val="21"/>
                <w:vertAlign w:val="subscript"/>
              </w:rPr>
              <w:t>1</w:t>
            </w:r>
            <w:r>
              <w:rPr>
                <w:rFonts w:hint="eastAsia"/>
                <w:sz w:val="18"/>
                <w:szCs w:val="21"/>
                <w:vertAlign w:val="superscript"/>
              </w:rPr>
              <w:t>*</w:t>
            </w:r>
            <w:r>
              <w:rPr>
                <w:rFonts w:hint="eastAsia"/>
                <w:sz w:val="18"/>
                <w:szCs w:val="21"/>
              </w:rPr>
              <w:t>，L</w:t>
            </w:r>
            <w:r>
              <w:rPr>
                <w:rFonts w:hint="eastAsia"/>
                <w:sz w:val="18"/>
                <w:szCs w:val="21"/>
                <w:vertAlign w:val="subscript"/>
              </w:rPr>
              <w:t>2</w:t>
            </w:r>
            <w:r>
              <w:rPr>
                <w:rFonts w:hint="eastAsia"/>
                <w:sz w:val="18"/>
                <w:szCs w:val="21"/>
              </w:rPr>
              <w:t>，L</w:t>
            </w:r>
            <w:r>
              <w:rPr>
                <w:rFonts w:hint="eastAsia"/>
                <w:sz w:val="18"/>
                <w:szCs w:val="21"/>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1450" w:type="dxa"/>
            <w:vAlign w:val="center"/>
          </w:tcPr>
          <w:p>
            <w:pPr>
              <w:spacing w:line="360" w:lineRule="auto"/>
              <w:jc w:val="center"/>
              <w:rPr>
                <w:sz w:val="18"/>
                <w:szCs w:val="21"/>
              </w:rPr>
            </w:pPr>
            <w:r>
              <w:rPr>
                <w:rFonts w:hint="eastAsia"/>
                <w:sz w:val="18"/>
                <w:szCs w:val="21"/>
              </w:rPr>
              <w:t>连接到建筑物的服务设施附近</w:t>
            </w:r>
          </w:p>
        </w:tc>
        <w:tc>
          <w:tcPr>
            <w:tcW w:w="2451" w:type="dxa"/>
            <w:vAlign w:val="center"/>
          </w:tcPr>
          <w:p>
            <w:pPr>
              <w:adjustRightInd w:val="0"/>
              <w:snapToGrid w:val="0"/>
              <w:spacing w:line="360" w:lineRule="auto"/>
              <w:jc w:val="center"/>
              <w:rPr>
                <w:sz w:val="18"/>
                <w:szCs w:val="21"/>
              </w:rPr>
            </w:pPr>
            <w:r>
              <w:rPr>
                <w:rFonts w:hint="eastAsia"/>
                <w:sz w:val="18"/>
                <w:szCs w:val="21"/>
              </w:rPr>
              <w:drawing>
                <wp:inline distT="0" distB="0" distL="114300" distR="114300">
                  <wp:extent cx="1333500" cy="847725"/>
                  <wp:effectExtent l="0" t="0" r="0" b="9525"/>
                  <wp:docPr id="1846"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 name="图片 111"/>
                          <pic:cNvPicPr>
                            <a:picLocks noChangeAspect="1"/>
                          </pic:cNvPicPr>
                        </pic:nvPicPr>
                        <pic:blipFill>
                          <a:blip r:embed="rId7"/>
                          <a:stretch>
                            <a:fillRect/>
                          </a:stretch>
                        </pic:blipFill>
                        <pic:spPr>
                          <a:xfrm>
                            <a:off x="0" y="0"/>
                            <a:ext cx="1333500" cy="847725"/>
                          </a:xfrm>
                          <a:prstGeom prst="rect">
                            <a:avLst/>
                          </a:prstGeom>
                          <a:noFill/>
                          <a:ln>
                            <a:noFill/>
                          </a:ln>
                        </pic:spPr>
                      </pic:pic>
                    </a:graphicData>
                  </a:graphic>
                </wp:inline>
              </w:drawing>
            </w:r>
          </w:p>
        </w:tc>
        <w:tc>
          <w:tcPr>
            <w:tcW w:w="975" w:type="dxa"/>
            <w:vAlign w:val="center"/>
          </w:tcPr>
          <w:p>
            <w:pPr>
              <w:spacing w:line="360" w:lineRule="auto"/>
              <w:jc w:val="center"/>
              <w:rPr>
                <w:sz w:val="18"/>
                <w:szCs w:val="21"/>
              </w:rPr>
            </w:pPr>
            <w:r>
              <w:rPr>
                <w:rFonts w:hint="eastAsia"/>
                <w:sz w:val="18"/>
                <w:szCs w:val="21"/>
              </w:rPr>
              <w:t>S</w:t>
            </w:r>
            <w:r>
              <w:rPr>
                <w:rFonts w:hint="eastAsia"/>
                <w:sz w:val="18"/>
                <w:szCs w:val="21"/>
                <w:vertAlign w:val="subscript"/>
              </w:rPr>
              <w:t>4</w:t>
            </w:r>
          </w:p>
        </w:tc>
        <w:tc>
          <w:tcPr>
            <w:tcW w:w="975" w:type="dxa"/>
            <w:vAlign w:val="center"/>
          </w:tcPr>
          <w:p>
            <w:pPr>
              <w:spacing w:line="360" w:lineRule="auto"/>
              <w:jc w:val="center"/>
              <w:rPr>
                <w:sz w:val="18"/>
                <w:szCs w:val="21"/>
              </w:rPr>
            </w:pPr>
            <w:r>
              <w:rPr>
                <w:rFonts w:hint="eastAsia"/>
                <w:sz w:val="18"/>
                <w:szCs w:val="21"/>
              </w:rPr>
              <w:t>D</w:t>
            </w:r>
            <w:r>
              <w:rPr>
                <w:rFonts w:hint="eastAsia"/>
                <w:sz w:val="18"/>
                <w:szCs w:val="21"/>
                <w:vertAlign w:val="subscript"/>
              </w:rPr>
              <w:t>3</w:t>
            </w:r>
          </w:p>
        </w:tc>
        <w:tc>
          <w:tcPr>
            <w:tcW w:w="1753" w:type="dxa"/>
            <w:vAlign w:val="center"/>
          </w:tcPr>
          <w:p>
            <w:pPr>
              <w:spacing w:line="360" w:lineRule="auto"/>
              <w:rPr>
                <w:sz w:val="18"/>
                <w:szCs w:val="21"/>
              </w:rPr>
            </w:pPr>
          </w:p>
          <w:p>
            <w:pPr>
              <w:spacing w:line="360" w:lineRule="auto"/>
              <w:jc w:val="center"/>
              <w:rPr>
                <w:sz w:val="18"/>
                <w:szCs w:val="21"/>
                <w:vertAlign w:val="subscript"/>
              </w:rPr>
            </w:pPr>
            <w:r>
              <w:rPr>
                <w:rFonts w:hint="eastAsia"/>
                <w:sz w:val="18"/>
                <w:szCs w:val="21"/>
              </w:rPr>
              <w:t>L</w:t>
            </w:r>
            <w:r>
              <w:rPr>
                <w:rFonts w:hint="eastAsia"/>
                <w:sz w:val="18"/>
                <w:szCs w:val="21"/>
                <w:vertAlign w:val="subscript"/>
              </w:rPr>
              <w:t>1</w:t>
            </w:r>
            <w:r>
              <w:rPr>
                <w:rFonts w:hint="eastAsia"/>
                <w:sz w:val="18"/>
                <w:szCs w:val="21"/>
                <w:vertAlign w:val="superscript"/>
              </w:rPr>
              <w:t>*</w:t>
            </w:r>
            <w:r>
              <w:rPr>
                <w:rFonts w:hint="eastAsia"/>
                <w:sz w:val="18"/>
                <w:szCs w:val="21"/>
              </w:rPr>
              <w:t>，L</w:t>
            </w:r>
            <w:r>
              <w:rPr>
                <w:rFonts w:hint="eastAsia"/>
                <w:sz w:val="18"/>
                <w:szCs w:val="21"/>
                <w:vertAlign w:val="subscript"/>
              </w:rPr>
              <w:t>2</w:t>
            </w:r>
            <w:r>
              <w:rPr>
                <w:rFonts w:hint="eastAsia"/>
                <w:sz w:val="18"/>
                <w:szCs w:val="21"/>
              </w:rPr>
              <w:t xml:space="preserve"> ，L</w:t>
            </w:r>
            <w:r>
              <w:rPr>
                <w:rFonts w:hint="eastAsia"/>
                <w:sz w:val="18"/>
                <w:szCs w:val="21"/>
                <w:vertAlign w:val="subscript"/>
              </w:rPr>
              <w:t>4</w:t>
            </w:r>
          </w:p>
          <w:p>
            <w:pPr>
              <w:spacing w:line="360" w:lineRule="auto"/>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1" w:hRule="atLeast"/>
          <w:jc w:val="center"/>
        </w:trPr>
        <w:tc>
          <w:tcPr>
            <w:tcW w:w="7604" w:type="dxa"/>
            <w:gridSpan w:val="5"/>
            <w:vAlign w:val="center"/>
          </w:tcPr>
          <w:p>
            <w:pPr>
              <w:spacing w:line="360" w:lineRule="auto"/>
              <w:rPr>
                <w:sz w:val="18"/>
                <w:szCs w:val="21"/>
              </w:rPr>
            </w:pPr>
            <w:r>
              <w:rPr>
                <w:rFonts w:hint="eastAsia"/>
                <w:sz w:val="18"/>
                <w:szCs w:val="21"/>
              </w:rPr>
              <w:t>*仅对有爆炸危险的建筑物和那些因内部系统失效立即危及人身生命的医院或其它建筑物而言。</w:t>
            </w:r>
          </w:p>
          <w:p>
            <w:pPr>
              <w:spacing w:line="360" w:lineRule="auto"/>
              <w:rPr>
                <w:sz w:val="18"/>
                <w:szCs w:val="21"/>
              </w:rPr>
            </w:pPr>
            <w:r>
              <w:rPr>
                <w:rFonts w:hint="eastAsia"/>
                <w:sz w:val="18"/>
                <w:szCs w:val="21"/>
              </w:rPr>
              <w:t>**仅对可能有动物损失的地方而言。</w:t>
            </w:r>
          </w:p>
        </w:tc>
      </w:tr>
    </w:tbl>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8"/>
        <w:spacing w:line="400" w:lineRule="exact"/>
        <w:ind w:left="400"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简述不同损害类型产生的损失类型。</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widowControl/>
        <w:jc w:val="center"/>
      </w:pPr>
      <w:r>
        <w:rPr>
          <w:rFonts w:ascii="宋体" w:hAnsi="宋体" w:eastAsia="宋体" w:cs="宋体"/>
          <w:kern w:val="0"/>
          <w:sz w:val="24"/>
          <w:szCs w:val="24"/>
        </w:rPr>
        <w:drawing>
          <wp:inline distT="0" distB="0" distL="114300" distR="114300">
            <wp:extent cx="4096385" cy="2699385"/>
            <wp:effectExtent l="0" t="0" r="18415" b="5715"/>
            <wp:docPr id="1847" name="图片 1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 name="图片 112" descr="IMG_256"/>
                    <pic:cNvPicPr>
                      <a:picLocks noChangeAspect="1"/>
                    </pic:cNvPicPr>
                  </pic:nvPicPr>
                  <pic:blipFill>
                    <a:blip r:embed="rId8"/>
                    <a:stretch>
                      <a:fillRect/>
                    </a:stretch>
                  </pic:blipFill>
                  <pic:spPr>
                    <a:xfrm>
                      <a:off x="0" y="0"/>
                      <a:ext cx="4095023" cy="2698566"/>
                    </a:xfrm>
                    <a:prstGeom prst="rect">
                      <a:avLst/>
                    </a:prstGeom>
                    <a:noFill/>
                    <a:ln w="9525">
                      <a:noFill/>
                    </a:ln>
                  </pic:spPr>
                </pic:pic>
              </a:graphicData>
            </a:graphic>
          </wp:inline>
        </w:drawing>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8"/>
        <w:spacing w:line="400" w:lineRule="exact"/>
        <w:ind w:left="400"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简述各LPL对应的雷电流参数最大值。</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6"/>
        <w:gridCol w:w="900"/>
        <w:gridCol w:w="885"/>
        <w:gridCol w:w="1035"/>
        <w:gridCol w:w="1035"/>
        <w:gridCol w:w="1035"/>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591" w:type="dxa"/>
            <w:gridSpan w:val="3"/>
            <w:vAlign w:val="center"/>
          </w:tcPr>
          <w:p>
            <w:pPr>
              <w:spacing w:line="360" w:lineRule="auto"/>
              <w:jc w:val="center"/>
              <w:rPr>
                <w:sz w:val="18"/>
                <w:szCs w:val="21"/>
              </w:rPr>
            </w:pPr>
            <w:r>
              <w:rPr>
                <w:rFonts w:hint="eastAsia"/>
                <w:sz w:val="18"/>
                <w:szCs w:val="21"/>
              </w:rPr>
              <w:t>首次短雷击</w:t>
            </w:r>
          </w:p>
        </w:tc>
        <w:tc>
          <w:tcPr>
            <w:tcW w:w="3919"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6" w:type="dxa"/>
            <w:vAlign w:val="center"/>
          </w:tcPr>
          <w:p>
            <w:pPr>
              <w:spacing w:line="360" w:lineRule="auto"/>
              <w:jc w:val="center"/>
              <w:rPr>
                <w:sz w:val="18"/>
                <w:szCs w:val="21"/>
              </w:rPr>
            </w:pPr>
            <w:r>
              <w:rPr>
                <w:rFonts w:hint="eastAsia"/>
                <w:sz w:val="18"/>
                <w:szCs w:val="21"/>
              </w:rPr>
              <w:t>电流参数</w:t>
            </w:r>
          </w:p>
        </w:tc>
        <w:tc>
          <w:tcPr>
            <w:tcW w:w="900" w:type="dxa"/>
            <w:vAlign w:val="center"/>
          </w:tcPr>
          <w:p>
            <w:pPr>
              <w:spacing w:line="360" w:lineRule="auto"/>
              <w:jc w:val="center"/>
              <w:rPr>
                <w:sz w:val="18"/>
                <w:szCs w:val="21"/>
              </w:rPr>
            </w:pPr>
            <w:r>
              <w:rPr>
                <w:rFonts w:hint="eastAsia"/>
                <w:sz w:val="18"/>
                <w:szCs w:val="21"/>
              </w:rPr>
              <w:t>符号</w:t>
            </w:r>
          </w:p>
        </w:tc>
        <w:tc>
          <w:tcPr>
            <w:tcW w:w="885" w:type="dxa"/>
            <w:vAlign w:val="center"/>
          </w:tcPr>
          <w:p>
            <w:pPr>
              <w:spacing w:line="360" w:lineRule="auto"/>
              <w:jc w:val="center"/>
              <w:rPr>
                <w:sz w:val="18"/>
                <w:szCs w:val="21"/>
              </w:rPr>
            </w:pPr>
            <w:r>
              <w:rPr>
                <w:rFonts w:hint="eastAsia"/>
                <w:sz w:val="18"/>
                <w:szCs w:val="21"/>
              </w:rPr>
              <w:t>单位</w:t>
            </w:r>
          </w:p>
        </w:tc>
        <w:tc>
          <w:tcPr>
            <w:tcW w:w="1035" w:type="dxa"/>
            <w:vAlign w:val="center"/>
          </w:tcPr>
          <w:p>
            <w:pPr>
              <w:spacing w:line="360" w:lineRule="auto"/>
              <w:jc w:val="center"/>
              <w:rPr>
                <w:sz w:val="18"/>
                <w:szCs w:val="21"/>
              </w:rPr>
            </w:pPr>
            <w:r>
              <w:rPr>
                <w:rFonts w:hint="eastAsia"/>
                <w:sz w:val="18"/>
                <w:szCs w:val="21"/>
              </w:rPr>
              <w:t>I</w:t>
            </w:r>
          </w:p>
        </w:tc>
        <w:tc>
          <w:tcPr>
            <w:tcW w:w="1035" w:type="dxa"/>
            <w:vAlign w:val="center"/>
          </w:tcPr>
          <w:p>
            <w:pPr>
              <w:spacing w:line="360" w:lineRule="auto"/>
              <w:jc w:val="center"/>
              <w:rPr>
                <w:sz w:val="18"/>
                <w:szCs w:val="21"/>
              </w:rPr>
            </w:pPr>
            <w:r>
              <w:rPr>
                <w:rFonts w:hint="eastAsia"/>
                <w:sz w:val="18"/>
                <w:szCs w:val="21"/>
              </w:rPr>
              <w:t>II</w:t>
            </w:r>
          </w:p>
        </w:tc>
        <w:tc>
          <w:tcPr>
            <w:tcW w:w="1035" w:type="dxa"/>
            <w:vAlign w:val="center"/>
          </w:tcPr>
          <w:p>
            <w:pPr>
              <w:spacing w:line="360" w:lineRule="auto"/>
              <w:jc w:val="center"/>
              <w:rPr>
                <w:sz w:val="18"/>
                <w:szCs w:val="21"/>
              </w:rPr>
            </w:pPr>
            <w:r>
              <w:rPr>
                <w:rFonts w:hint="eastAsia"/>
                <w:sz w:val="18"/>
                <w:szCs w:val="21"/>
              </w:rPr>
              <w:t>III</w:t>
            </w:r>
          </w:p>
        </w:tc>
        <w:tc>
          <w:tcPr>
            <w:tcW w:w="814"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峰值电流</w:t>
            </w:r>
          </w:p>
        </w:tc>
        <w:tc>
          <w:tcPr>
            <w:tcW w:w="900" w:type="dxa"/>
            <w:vAlign w:val="center"/>
          </w:tcPr>
          <w:p>
            <w:pPr>
              <w:spacing w:line="360" w:lineRule="auto"/>
              <w:jc w:val="center"/>
              <w:rPr>
                <w:i/>
                <w:iCs/>
                <w:sz w:val="18"/>
                <w:szCs w:val="21"/>
              </w:rPr>
            </w:pPr>
            <w:r>
              <w:rPr>
                <w:rFonts w:hint="eastAsia"/>
                <w:i/>
                <w:iCs/>
                <w:sz w:val="18"/>
                <w:szCs w:val="21"/>
              </w:rPr>
              <w:t>I</w:t>
            </w:r>
          </w:p>
        </w:tc>
        <w:tc>
          <w:tcPr>
            <w:tcW w:w="885" w:type="dxa"/>
            <w:vAlign w:val="center"/>
          </w:tcPr>
          <w:p>
            <w:pPr>
              <w:spacing w:line="360" w:lineRule="auto"/>
              <w:jc w:val="center"/>
              <w:rPr>
                <w:sz w:val="18"/>
                <w:szCs w:val="21"/>
              </w:rPr>
            </w:pPr>
            <w:r>
              <w:rPr>
                <w:sz w:val="18"/>
                <w:szCs w:val="21"/>
              </w:rPr>
              <w:t>kA</w:t>
            </w:r>
          </w:p>
        </w:tc>
        <w:tc>
          <w:tcPr>
            <w:tcW w:w="1035" w:type="dxa"/>
            <w:vAlign w:val="center"/>
          </w:tcPr>
          <w:p>
            <w:pPr>
              <w:spacing w:line="360" w:lineRule="auto"/>
              <w:jc w:val="center"/>
              <w:rPr>
                <w:sz w:val="18"/>
                <w:szCs w:val="21"/>
              </w:rPr>
            </w:pPr>
            <w:r>
              <w:rPr>
                <w:sz w:val="18"/>
                <w:szCs w:val="21"/>
              </w:rPr>
              <w:t>200</w:t>
            </w:r>
          </w:p>
        </w:tc>
        <w:tc>
          <w:tcPr>
            <w:tcW w:w="1035" w:type="dxa"/>
            <w:vAlign w:val="center"/>
          </w:tcPr>
          <w:p>
            <w:pPr>
              <w:spacing w:line="360" w:lineRule="auto"/>
              <w:jc w:val="center"/>
              <w:rPr>
                <w:sz w:val="18"/>
                <w:szCs w:val="21"/>
              </w:rPr>
            </w:pPr>
            <w:r>
              <w:rPr>
                <w:sz w:val="18"/>
                <w:szCs w:val="21"/>
              </w:rPr>
              <w:t>150</w:t>
            </w:r>
          </w:p>
        </w:tc>
        <w:tc>
          <w:tcPr>
            <w:tcW w:w="1849" w:type="dxa"/>
            <w:gridSpan w:val="2"/>
            <w:vAlign w:val="center"/>
          </w:tcPr>
          <w:p>
            <w:pPr>
              <w:spacing w:line="360" w:lineRule="auto"/>
              <w:jc w:val="center"/>
              <w:rPr>
                <w:sz w:val="18"/>
                <w:szCs w:val="21"/>
              </w:rPr>
            </w:pPr>
            <w:r>
              <w:rPr>
                <w:sz w:val="18"/>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短雷击电荷</w:t>
            </w:r>
          </w:p>
        </w:tc>
        <w:tc>
          <w:tcPr>
            <w:tcW w:w="900" w:type="dxa"/>
            <w:vAlign w:val="center"/>
          </w:tcPr>
          <w:p>
            <w:pPr>
              <w:spacing w:line="360" w:lineRule="auto"/>
              <w:jc w:val="center"/>
              <w:rPr>
                <w:sz w:val="18"/>
                <w:szCs w:val="21"/>
              </w:rPr>
            </w:pPr>
            <w:r>
              <w:rPr>
                <w:i/>
                <w:iCs/>
                <w:sz w:val="18"/>
                <w:szCs w:val="21"/>
              </w:rPr>
              <w:t>Q</w:t>
            </w:r>
            <w:r>
              <w:rPr>
                <w:sz w:val="18"/>
                <w:szCs w:val="21"/>
                <w:vertAlign w:val="subscript"/>
              </w:rPr>
              <w:t>short</w:t>
            </w:r>
          </w:p>
        </w:tc>
        <w:tc>
          <w:tcPr>
            <w:tcW w:w="885" w:type="dxa"/>
            <w:vAlign w:val="center"/>
          </w:tcPr>
          <w:p>
            <w:pPr>
              <w:pStyle w:val="3"/>
              <w:pBdr>
                <w:bottom w:val="none" w:color="auto" w:sz="0" w:space="0"/>
              </w:pBdr>
              <w:tabs>
                <w:tab w:val="clear" w:pos="4153"/>
                <w:tab w:val="clear" w:pos="8306"/>
              </w:tabs>
              <w:snapToGrid/>
              <w:spacing w:line="360" w:lineRule="auto"/>
              <w:rPr>
                <w:szCs w:val="21"/>
              </w:rPr>
            </w:pPr>
            <w:r>
              <w:rPr>
                <w:szCs w:val="21"/>
              </w:rPr>
              <w:t>C</w:t>
            </w:r>
          </w:p>
        </w:tc>
        <w:tc>
          <w:tcPr>
            <w:tcW w:w="1035" w:type="dxa"/>
            <w:vAlign w:val="center"/>
          </w:tcPr>
          <w:p>
            <w:pPr>
              <w:spacing w:line="360" w:lineRule="auto"/>
              <w:jc w:val="center"/>
              <w:rPr>
                <w:sz w:val="18"/>
                <w:szCs w:val="21"/>
              </w:rPr>
            </w:pPr>
            <w:r>
              <w:rPr>
                <w:sz w:val="18"/>
                <w:szCs w:val="21"/>
              </w:rPr>
              <w:t>100</w:t>
            </w:r>
          </w:p>
        </w:tc>
        <w:tc>
          <w:tcPr>
            <w:tcW w:w="1035" w:type="dxa"/>
            <w:vAlign w:val="center"/>
          </w:tcPr>
          <w:p>
            <w:pPr>
              <w:spacing w:line="360" w:lineRule="auto"/>
              <w:jc w:val="center"/>
              <w:rPr>
                <w:sz w:val="18"/>
              </w:rPr>
            </w:pPr>
            <w:r>
              <w:rPr>
                <w:sz w:val="18"/>
              </w:rPr>
              <w:t>75</w:t>
            </w:r>
          </w:p>
        </w:tc>
        <w:tc>
          <w:tcPr>
            <w:tcW w:w="1849" w:type="dxa"/>
            <w:gridSpan w:val="2"/>
            <w:vAlign w:val="center"/>
          </w:tcPr>
          <w:p>
            <w:pPr>
              <w:spacing w:line="360" w:lineRule="auto"/>
              <w:jc w:val="center"/>
              <w:rPr>
                <w:sz w:val="18"/>
                <w:szCs w:val="21"/>
              </w:rPr>
            </w:pPr>
            <w:r>
              <w:rPr>
                <w:sz w:val="18"/>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单位能量</w:t>
            </w:r>
          </w:p>
        </w:tc>
        <w:tc>
          <w:tcPr>
            <w:tcW w:w="900" w:type="dxa"/>
            <w:vAlign w:val="center"/>
          </w:tcPr>
          <w:p>
            <w:pPr>
              <w:spacing w:line="360" w:lineRule="auto"/>
              <w:jc w:val="center"/>
              <w:rPr>
                <w:sz w:val="18"/>
                <w:szCs w:val="21"/>
              </w:rPr>
            </w:pPr>
            <w:r>
              <w:rPr>
                <w:i/>
                <w:iCs/>
                <w:sz w:val="18"/>
                <w:szCs w:val="21"/>
              </w:rPr>
              <w:t>W</w:t>
            </w:r>
            <w:r>
              <w:rPr>
                <w:sz w:val="18"/>
                <w:szCs w:val="21"/>
              </w:rPr>
              <w:t>/</w:t>
            </w:r>
            <w:r>
              <w:rPr>
                <w:i/>
                <w:iCs/>
                <w:sz w:val="18"/>
                <w:szCs w:val="21"/>
              </w:rPr>
              <w:t>R</w:t>
            </w:r>
          </w:p>
        </w:tc>
        <w:tc>
          <w:tcPr>
            <w:tcW w:w="885" w:type="dxa"/>
            <w:vAlign w:val="center"/>
          </w:tcPr>
          <w:p>
            <w:pPr>
              <w:spacing w:line="360" w:lineRule="auto"/>
              <w:jc w:val="center"/>
              <w:rPr>
                <w:sz w:val="18"/>
                <w:szCs w:val="21"/>
              </w:rPr>
            </w:pPr>
            <w:r>
              <w:rPr>
                <w:rFonts w:hint="eastAsia"/>
                <w:sz w:val="18"/>
                <w:szCs w:val="21"/>
              </w:rPr>
              <w:t>MJ</w:t>
            </w:r>
            <w:r>
              <w:rPr>
                <w:sz w:val="18"/>
                <w:szCs w:val="21"/>
              </w:rPr>
              <w:t>/</w:t>
            </w:r>
            <w:r>
              <w:rPr>
                <w:rFonts w:hint="eastAsia"/>
                <w:sz w:val="18"/>
                <w:szCs w:val="21"/>
              </w:rPr>
              <w:t>Ω</w:t>
            </w:r>
          </w:p>
        </w:tc>
        <w:tc>
          <w:tcPr>
            <w:tcW w:w="1035" w:type="dxa"/>
            <w:vAlign w:val="center"/>
          </w:tcPr>
          <w:p>
            <w:pPr>
              <w:spacing w:line="360" w:lineRule="auto"/>
              <w:jc w:val="center"/>
              <w:rPr>
                <w:sz w:val="18"/>
                <w:szCs w:val="21"/>
              </w:rPr>
            </w:pPr>
            <w:r>
              <w:rPr>
                <w:sz w:val="18"/>
                <w:szCs w:val="21"/>
              </w:rPr>
              <w:t>10</w:t>
            </w:r>
          </w:p>
        </w:tc>
        <w:tc>
          <w:tcPr>
            <w:tcW w:w="1035" w:type="dxa"/>
            <w:vAlign w:val="center"/>
          </w:tcPr>
          <w:p>
            <w:pPr>
              <w:spacing w:line="360" w:lineRule="auto"/>
              <w:jc w:val="center"/>
              <w:rPr>
                <w:sz w:val="18"/>
                <w:szCs w:val="21"/>
              </w:rPr>
            </w:pPr>
            <w:r>
              <w:rPr>
                <w:sz w:val="18"/>
                <w:szCs w:val="21"/>
              </w:rPr>
              <w:t>5.6</w:t>
            </w:r>
          </w:p>
        </w:tc>
        <w:tc>
          <w:tcPr>
            <w:tcW w:w="1849" w:type="dxa"/>
            <w:gridSpan w:val="2"/>
            <w:vAlign w:val="center"/>
          </w:tcPr>
          <w:p>
            <w:pPr>
              <w:spacing w:line="360" w:lineRule="auto"/>
              <w:jc w:val="center"/>
              <w:rPr>
                <w:sz w:val="18"/>
                <w:szCs w:val="21"/>
              </w:rPr>
            </w:pPr>
            <w:r>
              <w:rPr>
                <w:sz w:val="18"/>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6" w:type="dxa"/>
            <w:vAlign w:val="center"/>
          </w:tcPr>
          <w:p>
            <w:pPr>
              <w:spacing w:line="360" w:lineRule="auto"/>
              <w:jc w:val="center"/>
              <w:rPr>
                <w:sz w:val="18"/>
                <w:szCs w:val="21"/>
              </w:rPr>
            </w:pPr>
            <w:r>
              <w:rPr>
                <w:rFonts w:hint="eastAsia"/>
                <w:sz w:val="18"/>
                <w:szCs w:val="21"/>
              </w:rPr>
              <w:t>时间参数</w:t>
            </w:r>
          </w:p>
        </w:tc>
        <w:tc>
          <w:tcPr>
            <w:tcW w:w="900" w:type="dxa"/>
            <w:vAlign w:val="center"/>
          </w:tcPr>
          <w:p>
            <w:pPr>
              <w:spacing w:line="360" w:lineRule="auto"/>
              <w:jc w:val="center"/>
              <w:rPr>
                <w:sz w:val="18"/>
                <w:szCs w:val="21"/>
              </w:rPr>
            </w:pPr>
            <w:r>
              <w:rPr>
                <w:i/>
                <w:iCs/>
                <w:sz w:val="18"/>
                <w:szCs w:val="21"/>
              </w:rPr>
              <w:t>T</w:t>
            </w:r>
            <w:r>
              <w:rPr>
                <w:sz w:val="18"/>
                <w:szCs w:val="21"/>
                <w:vertAlign w:val="subscript"/>
              </w:rPr>
              <w:t>1</w:t>
            </w:r>
            <w:r>
              <w:rPr>
                <w:sz w:val="18"/>
                <w:szCs w:val="21"/>
              </w:rPr>
              <w:t>/</w:t>
            </w:r>
            <w:r>
              <w:rPr>
                <w:i/>
                <w:iCs/>
                <w:sz w:val="18"/>
                <w:szCs w:val="21"/>
              </w:rPr>
              <w:t>T</w:t>
            </w:r>
            <w:r>
              <w:rPr>
                <w:sz w:val="18"/>
                <w:szCs w:val="21"/>
                <w:vertAlign w:val="subscript"/>
              </w:rPr>
              <w:t>2</w:t>
            </w:r>
          </w:p>
        </w:tc>
        <w:tc>
          <w:tcPr>
            <w:tcW w:w="885" w:type="dxa"/>
            <w:vAlign w:val="center"/>
          </w:tcPr>
          <w:p>
            <w:pPr>
              <w:spacing w:line="360" w:lineRule="auto"/>
              <w:jc w:val="center"/>
              <w:rPr>
                <w:sz w:val="18"/>
                <w:szCs w:val="21"/>
              </w:rPr>
            </w:pPr>
            <w:r>
              <w:rPr>
                <w:rFonts w:hint="eastAsia"/>
                <w:sz w:val="18"/>
                <w:szCs w:val="21"/>
              </w:rPr>
              <w:t>μ</w:t>
            </w:r>
            <w:r>
              <w:rPr>
                <w:sz w:val="18"/>
                <w:szCs w:val="21"/>
              </w:rPr>
              <w:t>s/</w:t>
            </w:r>
            <w:r>
              <w:rPr>
                <w:rFonts w:hint="eastAsia"/>
                <w:sz w:val="18"/>
                <w:szCs w:val="21"/>
              </w:rPr>
              <w:t>μ</w:t>
            </w:r>
            <w:r>
              <w:rPr>
                <w:sz w:val="18"/>
                <w:szCs w:val="21"/>
              </w:rPr>
              <w:t>s</w:t>
            </w:r>
          </w:p>
        </w:tc>
        <w:tc>
          <w:tcPr>
            <w:tcW w:w="3919" w:type="dxa"/>
            <w:gridSpan w:val="4"/>
            <w:vAlign w:val="center"/>
          </w:tcPr>
          <w:p>
            <w:pPr>
              <w:spacing w:line="360" w:lineRule="auto"/>
              <w:jc w:val="center"/>
              <w:rPr>
                <w:sz w:val="18"/>
                <w:szCs w:val="21"/>
              </w:rPr>
            </w:pPr>
            <w:r>
              <w:rPr>
                <w:sz w:val="18"/>
                <w:szCs w:val="21"/>
              </w:rPr>
              <w:t>10/350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591" w:type="dxa"/>
            <w:gridSpan w:val="3"/>
            <w:vAlign w:val="center"/>
          </w:tcPr>
          <w:p>
            <w:pPr>
              <w:spacing w:line="360" w:lineRule="auto"/>
              <w:jc w:val="center"/>
              <w:rPr>
                <w:sz w:val="18"/>
                <w:szCs w:val="21"/>
              </w:rPr>
            </w:pPr>
            <w:r>
              <w:rPr>
                <w:rFonts w:hint="eastAsia"/>
                <w:sz w:val="18"/>
                <w:szCs w:val="21"/>
              </w:rPr>
              <w:t>后续短雷击</w:t>
            </w:r>
          </w:p>
        </w:tc>
        <w:tc>
          <w:tcPr>
            <w:tcW w:w="3919"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6" w:type="dxa"/>
            <w:vAlign w:val="center"/>
          </w:tcPr>
          <w:p>
            <w:pPr>
              <w:spacing w:line="360" w:lineRule="auto"/>
              <w:jc w:val="center"/>
              <w:rPr>
                <w:sz w:val="18"/>
                <w:szCs w:val="21"/>
              </w:rPr>
            </w:pPr>
            <w:r>
              <w:rPr>
                <w:rFonts w:hint="eastAsia"/>
                <w:sz w:val="18"/>
                <w:szCs w:val="21"/>
              </w:rPr>
              <w:t>电流参数</w:t>
            </w:r>
          </w:p>
        </w:tc>
        <w:tc>
          <w:tcPr>
            <w:tcW w:w="900" w:type="dxa"/>
            <w:vAlign w:val="center"/>
          </w:tcPr>
          <w:p>
            <w:pPr>
              <w:spacing w:line="360" w:lineRule="auto"/>
              <w:jc w:val="center"/>
              <w:rPr>
                <w:sz w:val="18"/>
                <w:szCs w:val="21"/>
              </w:rPr>
            </w:pPr>
            <w:r>
              <w:rPr>
                <w:rFonts w:hint="eastAsia"/>
                <w:sz w:val="18"/>
                <w:szCs w:val="21"/>
              </w:rPr>
              <w:t>符号</w:t>
            </w:r>
          </w:p>
        </w:tc>
        <w:tc>
          <w:tcPr>
            <w:tcW w:w="885" w:type="dxa"/>
            <w:vAlign w:val="center"/>
          </w:tcPr>
          <w:p>
            <w:pPr>
              <w:spacing w:line="360" w:lineRule="auto"/>
              <w:jc w:val="center"/>
              <w:rPr>
                <w:sz w:val="18"/>
                <w:szCs w:val="21"/>
              </w:rPr>
            </w:pPr>
            <w:r>
              <w:rPr>
                <w:rFonts w:hint="eastAsia"/>
                <w:sz w:val="18"/>
                <w:szCs w:val="21"/>
              </w:rPr>
              <w:t>单位</w:t>
            </w:r>
          </w:p>
        </w:tc>
        <w:tc>
          <w:tcPr>
            <w:tcW w:w="1035" w:type="dxa"/>
            <w:vAlign w:val="center"/>
          </w:tcPr>
          <w:p>
            <w:pPr>
              <w:spacing w:line="360" w:lineRule="auto"/>
              <w:jc w:val="center"/>
              <w:rPr>
                <w:sz w:val="18"/>
                <w:szCs w:val="21"/>
              </w:rPr>
            </w:pPr>
            <w:r>
              <w:rPr>
                <w:rFonts w:hint="eastAsia"/>
                <w:sz w:val="18"/>
                <w:szCs w:val="21"/>
              </w:rPr>
              <w:t>I</w:t>
            </w:r>
          </w:p>
        </w:tc>
        <w:tc>
          <w:tcPr>
            <w:tcW w:w="1035" w:type="dxa"/>
            <w:vAlign w:val="center"/>
          </w:tcPr>
          <w:p>
            <w:pPr>
              <w:spacing w:line="360" w:lineRule="auto"/>
              <w:jc w:val="center"/>
              <w:rPr>
                <w:sz w:val="18"/>
                <w:szCs w:val="21"/>
              </w:rPr>
            </w:pPr>
            <w:r>
              <w:rPr>
                <w:rFonts w:hint="eastAsia"/>
                <w:sz w:val="18"/>
                <w:szCs w:val="21"/>
              </w:rPr>
              <w:t>II</w:t>
            </w:r>
          </w:p>
        </w:tc>
        <w:tc>
          <w:tcPr>
            <w:tcW w:w="1035" w:type="dxa"/>
            <w:vAlign w:val="center"/>
          </w:tcPr>
          <w:p>
            <w:pPr>
              <w:spacing w:line="360" w:lineRule="auto"/>
              <w:jc w:val="center"/>
              <w:rPr>
                <w:sz w:val="18"/>
                <w:szCs w:val="21"/>
              </w:rPr>
            </w:pPr>
            <w:r>
              <w:rPr>
                <w:rFonts w:hint="eastAsia"/>
                <w:sz w:val="18"/>
                <w:szCs w:val="21"/>
              </w:rPr>
              <w:t>III</w:t>
            </w:r>
          </w:p>
        </w:tc>
        <w:tc>
          <w:tcPr>
            <w:tcW w:w="814"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峰值电流</w:t>
            </w:r>
          </w:p>
        </w:tc>
        <w:tc>
          <w:tcPr>
            <w:tcW w:w="900" w:type="dxa"/>
            <w:vAlign w:val="center"/>
          </w:tcPr>
          <w:p>
            <w:pPr>
              <w:spacing w:line="360" w:lineRule="auto"/>
              <w:jc w:val="center"/>
              <w:rPr>
                <w:i/>
                <w:iCs/>
                <w:sz w:val="18"/>
                <w:szCs w:val="21"/>
              </w:rPr>
            </w:pPr>
            <w:r>
              <w:rPr>
                <w:rFonts w:hint="eastAsia"/>
                <w:i/>
                <w:iCs/>
                <w:sz w:val="18"/>
                <w:szCs w:val="21"/>
              </w:rPr>
              <w:t>I</w:t>
            </w:r>
          </w:p>
        </w:tc>
        <w:tc>
          <w:tcPr>
            <w:tcW w:w="885" w:type="dxa"/>
            <w:vAlign w:val="center"/>
          </w:tcPr>
          <w:p>
            <w:pPr>
              <w:spacing w:line="360" w:lineRule="auto"/>
              <w:jc w:val="center"/>
              <w:rPr>
                <w:sz w:val="18"/>
                <w:szCs w:val="21"/>
              </w:rPr>
            </w:pPr>
            <w:r>
              <w:rPr>
                <w:sz w:val="18"/>
                <w:szCs w:val="21"/>
              </w:rPr>
              <w:t>kA</w:t>
            </w:r>
          </w:p>
        </w:tc>
        <w:tc>
          <w:tcPr>
            <w:tcW w:w="1035" w:type="dxa"/>
            <w:vAlign w:val="center"/>
          </w:tcPr>
          <w:p>
            <w:pPr>
              <w:spacing w:line="360" w:lineRule="auto"/>
              <w:jc w:val="center"/>
              <w:rPr>
                <w:sz w:val="18"/>
                <w:szCs w:val="21"/>
              </w:rPr>
            </w:pPr>
            <w:r>
              <w:rPr>
                <w:rFonts w:hint="eastAsia"/>
                <w:sz w:val="18"/>
                <w:szCs w:val="21"/>
              </w:rPr>
              <w:t>50</w:t>
            </w:r>
          </w:p>
        </w:tc>
        <w:tc>
          <w:tcPr>
            <w:tcW w:w="1035" w:type="dxa"/>
            <w:vAlign w:val="center"/>
          </w:tcPr>
          <w:p>
            <w:pPr>
              <w:spacing w:line="360" w:lineRule="auto"/>
              <w:jc w:val="center"/>
              <w:rPr>
                <w:sz w:val="18"/>
                <w:szCs w:val="21"/>
              </w:rPr>
            </w:pPr>
            <w:r>
              <w:rPr>
                <w:rFonts w:hint="eastAsia"/>
                <w:sz w:val="18"/>
                <w:szCs w:val="21"/>
              </w:rPr>
              <w:t>37</w:t>
            </w:r>
            <w:r>
              <w:rPr>
                <w:sz w:val="18"/>
                <w:szCs w:val="21"/>
              </w:rPr>
              <w:t>.5</w:t>
            </w:r>
          </w:p>
        </w:tc>
        <w:tc>
          <w:tcPr>
            <w:tcW w:w="1849" w:type="dxa"/>
            <w:gridSpan w:val="2"/>
            <w:vAlign w:val="center"/>
          </w:tcPr>
          <w:p>
            <w:pPr>
              <w:spacing w:line="360" w:lineRule="auto"/>
              <w:jc w:val="center"/>
              <w:rPr>
                <w:sz w:val="18"/>
                <w:szCs w:val="21"/>
              </w:rPr>
            </w:pPr>
            <w:r>
              <w:rPr>
                <w:sz w:val="18"/>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平均陡度</w:t>
            </w:r>
          </w:p>
        </w:tc>
        <w:tc>
          <w:tcPr>
            <w:tcW w:w="900" w:type="dxa"/>
            <w:vAlign w:val="center"/>
          </w:tcPr>
          <w:p>
            <w:pPr>
              <w:spacing w:line="360" w:lineRule="auto"/>
              <w:jc w:val="center"/>
              <w:rPr>
                <w:sz w:val="18"/>
                <w:szCs w:val="21"/>
              </w:rPr>
            </w:pPr>
            <w:r>
              <w:rPr>
                <w:sz w:val="18"/>
                <w:szCs w:val="21"/>
              </w:rPr>
              <w:t>d</w:t>
            </w:r>
            <w:r>
              <w:rPr>
                <w:i/>
                <w:iCs/>
                <w:sz w:val="18"/>
                <w:szCs w:val="21"/>
              </w:rPr>
              <w:t>i</w:t>
            </w:r>
            <w:r>
              <w:rPr>
                <w:sz w:val="18"/>
                <w:szCs w:val="21"/>
              </w:rPr>
              <w:t>/d</w:t>
            </w:r>
            <w:r>
              <w:rPr>
                <w:i/>
                <w:iCs/>
                <w:sz w:val="18"/>
                <w:szCs w:val="21"/>
              </w:rPr>
              <w:t>t</w:t>
            </w:r>
          </w:p>
        </w:tc>
        <w:tc>
          <w:tcPr>
            <w:tcW w:w="885" w:type="dxa"/>
            <w:vAlign w:val="center"/>
          </w:tcPr>
          <w:p>
            <w:pPr>
              <w:spacing w:line="360" w:lineRule="auto"/>
              <w:jc w:val="center"/>
              <w:rPr>
                <w:sz w:val="18"/>
                <w:szCs w:val="21"/>
              </w:rPr>
            </w:pPr>
            <w:r>
              <w:rPr>
                <w:sz w:val="18"/>
                <w:szCs w:val="21"/>
              </w:rPr>
              <w:t>kA/</w:t>
            </w:r>
            <w:r>
              <w:rPr>
                <w:rFonts w:hint="eastAsia"/>
                <w:sz w:val="18"/>
                <w:szCs w:val="21"/>
              </w:rPr>
              <w:t>μ</w:t>
            </w:r>
            <w:r>
              <w:rPr>
                <w:sz w:val="18"/>
                <w:szCs w:val="21"/>
              </w:rPr>
              <w:t>s</w:t>
            </w:r>
          </w:p>
        </w:tc>
        <w:tc>
          <w:tcPr>
            <w:tcW w:w="1035" w:type="dxa"/>
            <w:vAlign w:val="center"/>
          </w:tcPr>
          <w:p>
            <w:pPr>
              <w:spacing w:line="360" w:lineRule="auto"/>
              <w:jc w:val="center"/>
              <w:rPr>
                <w:sz w:val="18"/>
                <w:szCs w:val="21"/>
              </w:rPr>
            </w:pPr>
            <w:r>
              <w:rPr>
                <w:sz w:val="18"/>
                <w:szCs w:val="21"/>
              </w:rPr>
              <w:t>200</w:t>
            </w:r>
          </w:p>
        </w:tc>
        <w:tc>
          <w:tcPr>
            <w:tcW w:w="1035" w:type="dxa"/>
            <w:vAlign w:val="center"/>
          </w:tcPr>
          <w:p>
            <w:pPr>
              <w:spacing w:line="360" w:lineRule="auto"/>
              <w:jc w:val="center"/>
              <w:rPr>
                <w:sz w:val="18"/>
                <w:szCs w:val="21"/>
              </w:rPr>
            </w:pPr>
            <w:r>
              <w:rPr>
                <w:sz w:val="18"/>
                <w:szCs w:val="21"/>
              </w:rPr>
              <w:t>150</w:t>
            </w:r>
          </w:p>
        </w:tc>
        <w:tc>
          <w:tcPr>
            <w:tcW w:w="1849" w:type="dxa"/>
            <w:gridSpan w:val="2"/>
            <w:vAlign w:val="center"/>
          </w:tcPr>
          <w:p>
            <w:pPr>
              <w:spacing w:line="360" w:lineRule="auto"/>
              <w:jc w:val="center"/>
              <w:rPr>
                <w:sz w:val="18"/>
                <w:szCs w:val="21"/>
              </w:rPr>
            </w:pPr>
            <w:r>
              <w:rPr>
                <w:sz w:val="18"/>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时间参数</w:t>
            </w:r>
          </w:p>
        </w:tc>
        <w:tc>
          <w:tcPr>
            <w:tcW w:w="900" w:type="dxa"/>
            <w:vAlign w:val="center"/>
          </w:tcPr>
          <w:p>
            <w:pPr>
              <w:spacing w:line="360" w:lineRule="auto"/>
              <w:jc w:val="center"/>
              <w:rPr>
                <w:sz w:val="18"/>
                <w:szCs w:val="21"/>
              </w:rPr>
            </w:pPr>
            <w:r>
              <w:rPr>
                <w:i/>
                <w:iCs/>
                <w:sz w:val="18"/>
                <w:szCs w:val="21"/>
              </w:rPr>
              <w:t>T</w:t>
            </w:r>
            <w:r>
              <w:rPr>
                <w:sz w:val="18"/>
                <w:szCs w:val="21"/>
                <w:vertAlign w:val="subscript"/>
              </w:rPr>
              <w:t>1</w:t>
            </w:r>
            <w:r>
              <w:rPr>
                <w:sz w:val="18"/>
                <w:szCs w:val="21"/>
              </w:rPr>
              <w:t>/</w:t>
            </w:r>
            <w:r>
              <w:rPr>
                <w:i/>
                <w:iCs/>
                <w:sz w:val="18"/>
                <w:szCs w:val="21"/>
              </w:rPr>
              <w:t>T</w:t>
            </w:r>
            <w:r>
              <w:rPr>
                <w:sz w:val="18"/>
                <w:szCs w:val="21"/>
                <w:vertAlign w:val="subscript"/>
              </w:rPr>
              <w:t>2</w:t>
            </w:r>
          </w:p>
        </w:tc>
        <w:tc>
          <w:tcPr>
            <w:tcW w:w="885" w:type="dxa"/>
            <w:vAlign w:val="center"/>
          </w:tcPr>
          <w:p>
            <w:pPr>
              <w:spacing w:line="360" w:lineRule="auto"/>
              <w:jc w:val="center"/>
              <w:rPr>
                <w:sz w:val="18"/>
                <w:szCs w:val="21"/>
              </w:rPr>
            </w:pPr>
            <w:r>
              <w:rPr>
                <w:rFonts w:hint="eastAsia"/>
                <w:sz w:val="18"/>
                <w:szCs w:val="21"/>
              </w:rPr>
              <w:t>μ</w:t>
            </w:r>
            <w:r>
              <w:rPr>
                <w:sz w:val="18"/>
                <w:szCs w:val="21"/>
              </w:rPr>
              <w:t>s/</w:t>
            </w:r>
            <w:r>
              <w:rPr>
                <w:rFonts w:hint="eastAsia"/>
                <w:sz w:val="18"/>
                <w:szCs w:val="21"/>
              </w:rPr>
              <w:t>μ</w:t>
            </w:r>
            <w:r>
              <w:rPr>
                <w:sz w:val="18"/>
                <w:szCs w:val="21"/>
              </w:rPr>
              <w:t>s</w:t>
            </w:r>
          </w:p>
        </w:tc>
        <w:tc>
          <w:tcPr>
            <w:tcW w:w="3919" w:type="dxa"/>
            <w:gridSpan w:val="4"/>
            <w:vAlign w:val="center"/>
          </w:tcPr>
          <w:p>
            <w:pPr>
              <w:spacing w:line="360" w:lineRule="auto"/>
              <w:jc w:val="center"/>
              <w:rPr>
                <w:sz w:val="18"/>
                <w:szCs w:val="21"/>
              </w:rPr>
            </w:pPr>
            <w:r>
              <w:rPr>
                <w:sz w:val="18"/>
                <w:szCs w:val="21"/>
              </w:rPr>
              <w:t>0.25/100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591" w:type="dxa"/>
            <w:gridSpan w:val="3"/>
            <w:vAlign w:val="center"/>
          </w:tcPr>
          <w:p>
            <w:pPr>
              <w:spacing w:line="360" w:lineRule="auto"/>
              <w:jc w:val="center"/>
              <w:rPr>
                <w:sz w:val="18"/>
                <w:szCs w:val="21"/>
              </w:rPr>
            </w:pPr>
            <w:r>
              <w:rPr>
                <w:rFonts w:hint="eastAsia"/>
                <w:sz w:val="18"/>
                <w:szCs w:val="21"/>
              </w:rPr>
              <w:t>长雷击</w:t>
            </w:r>
          </w:p>
        </w:tc>
        <w:tc>
          <w:tcPr>
            <w:tcW w:w="3919"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6" w:type="dxa"/>
            <w:vAlign w:val="center"/>
          </w:tcPr>
          <w:p>
            <w:pPr>
              <w:spacing w:line="360" w:lineRule="auto"/>
              <w:jc w:val="center"/>
              <w:rPr>
                <w:sz w:val="18"/>
                <w:szCs w:val="21"/>
              </w:rPr>
            </w:pPr>
            <w:r>
              <w:rPr>
                <w:rFonts w:hint="eastAsia"/>
                <w:sz w:val="18"/>
                <w:szCs w:val="21"/>
              </w:rPr>
              <w:t>电流参数</w:t>
            </w:r>
          </w:p>
        </w:tc>
        <w:tc>
          <w:tcPr>
            <w:tcW w:w="900" w:type="dxa"/>
            <w:vAlign w:val="center"/>
          </w:tcPr>
          <w:p>
            <w:pPr>
              <w:spacing w:line="360" w:lineRule="auto"/>
              <w:jc w:val="center"/>
              <w:rPr>
                <w:sz w:val="18"/>
                <w:szCs w:val="21"/>
              </w:rPr>
            </w:pPr>
            <w:r>
              <w:rPr>
                <w:rFonts w:hint="eastAsia"/>
                <w:sz w:val="18"/>
                <w:szCs w:val="21"/>
              </w:rPr>
              <w:t>符号</w:t>
            </w:r>
          </w:p>
        </w:tc>
        <w:tc>
          <w:tcPr>
            <w:tcW w:w="885" w:type="dxa"/>
            <w:vAlign w:val="center"/>
          </w:tcPr>
          <w:p>
            <w:pPr>
              <w:spacing w:line="360" w:lineRule="auto"/>
              <w:jc w:val="center"/>
              <w:rPr>
                <w:sz w:val="18"/>
                <w:szCs w:val="21"/>
              </w:rPr>
            </w:pPr>
            <w:r>
              <w:rPr>
                <w:rFonts w:hint="eastAsia"/>
                <w:sz w:val="18"/>
                <w:szCs w:val="21"/>
              </w:rPr>
              <w:t>单位</w:t>
            </w:r>
          </w:p>
        </w:tc>
        <w:tc>
          <w:tcPr>
            <w:tcW w:w="1035" w:type="dxa"/>
            <w:vAlign w:val="center"/>
          </w:tcPr>
          <w:p>
            <w:pPr>
              <w:spacing w:line="360" w:lineRule="auto"/>
              <w:jc w:val="center"/>
              <w:rPr>
                <w:sz w:val="18"/>
                <w:szCs w:val="21"/>
              </w:rPr>
            </w:pPr>
            <w:r>
              <w:rPr>
                <w:rFonts w:hint="eastAsia"/>
                <w:sz w:val="18"/>
                <w:szCs w:val="21"/>
              </w:rPr>
              <w:t>I</w:t>
            </w:r>
          </w:p>
        </w:tc>
        <w:tc>
          <w:tcPr>
            <w:tcW w:w="1035" w:type="dxa"/>
            <w:vAlign w:val="center"/>
          </w:tcPr>
          <w:p>
            <w:pPr>
              <w:spacing w:line="360" w:lineRule="auto"/>
              <w:jc w:val="center"/>
              <w:rPr>
                <w:sz w:val="18"/>
                <w:szCs w:val="21"/>
              </w:rPr>
            </w:pPr>
            <w:r>
              <w:rPr>
                <w:rFonts w:hint="eastAsia"/>
                <w:sz w:val="18"/>
                <w:szCs w:val="21"/>
              </w:rPr>
              <w:t>II</w:t>
            </w:r>
          </w:p>
        </w:tc>
        <w:tc>
          <w:tcPr>
            <w:tcW w:w="1035" w:type="dxa"/>
            <w:vAlign w:val="center"/>
          </w:tcPr>
          <w:p>
            <w:pPr>
              <w:spacing w:line="360" w:lineRule="auto"/>
              <w:jc w:val="center"/>
              <w:rPr>
                <w:sz w:val="18"/>
                <w:szCs w:val="21"/>
              </w:rPr>
            </w:pPr>
            <w:r>
              <w:rPr>
                <w:rFonts w:hint="eastAsia"/>
                <w:sz w:val="18"/>
                <w:szCs w:val="21"/>
              </w:rPr>
              <w:t>III</w:t>
            </w:r>
          </w:p>
        </w:tc>
        <w:tc>
          <w:tcPr>
            <w:tcW w:w="814"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长雷击电荷</w:t>
            </w:r>
          </w:p>
        </w:tc>
        <w:tc>
          <w:tcPr>
            <w:tcW w:w="900" w:type="dxa"/>
            <w:vAlign w:val="center"/>
          </w:tcPr>
          <w:p>
            <w:pPr>
              <w:spacing w:line="360" w:lineRule="auto"/>
              <w:jc w:val="center"/>
              <w:rPr>
                <w:sz w:val="18"/>
                <w:szCs w:val="21"/>
              </w:rPr>
            </w:pPr>
            <w:r>
              <w:rPr>
                <w:rFonts w:hint="eastAsia"/>
                <w:i/>
                <w:iCs/>
                <w:sz w:val="18"/>
                <w:szCs w:val="21"/>
              </w:rPr>
              <w:t>Q</w:t>
            </w:r>
            <w:r>
              <w:rPr>
                <w:sz w:val="18"/>
                <w:szCs w:val="21"/>
                <w:vertAlign w:val="subscript"/>
              </w:rPr>
              <w:t>long</w:t>
            </w:r>
          </w:p>
        </w:tc>
        <w:tc>
          <w:tcPr>
            <w:tcW w:w="885" w:type="dxa"/>
            <w:vAlign w:val="center"/>
          </w:tcPr>
          <w:p>
            <w:pPr>
              <w:spacing w:line="360" w:lineRule="auto"/>
              <w:jc w:val="center"/>
              <w:rPr>
                <w:sz w:val="18"/>
                <w:szCs w:val="21"/>
              </w:rPr>
            </w:pPr>
            <w:r>
              <w:rPr>
                <w:sz w:val="18"/>
                <w:szCs w:val="21"/>
              </w:rPr>
              <w:t>C</w:t>
            </w:r>
          </w:p>
        </w:tc>
        <w:tc>
          <w:tcPr>
            <w:tcW w:w="1035" w:type="dxa"/>
            <w:vAlign w:val="center"/>
          </w:tcPr>
          <w:p>
            <w:pPr>
              <w:spacing w:line="360" w:lineRule="auto"/>
              <w:jc w:val="center"/>
              <w:rPr>
                <w:sz w:val="18"/>
                <w:szCs w:val="21"/>
              </w:rPr>
            </w:pPr>
            <w:r>
              <w:rPr>
                <w:sz w:val="18"/>
                <w:szCs w:val="21"/>
              </w:rPr>
              <w:t>200</w:t>
            </w:r>
          </w:p>
        </w:tc>
        <w:tc>
          <w:tcPr>
            <w:tcW w:w="1035" w:type="dxa"/>
            <w:vAlign w:val="center"/>
          </w:tcPr>
          <w:p>
            <w:pPr>
              <w:spacing w:line="360" w:lineRule="auto"/>
              <w:jc w:val="center"/>
              <w:rPr>
                <w:sz w:val="18"/>
                <w:szCs w:val="21"/>
              </w:rPr>
            </w:pPr>
            <w:r>
              <w:rPr>
                <w:sz w:val="18"/>
                <w:szCs w:val="21"/>
              </w:rPr>
              <w:t>150</w:t>
            </w:r>
          </w:p>
        </w:tc>
        <w:tc>
          <w:tcPr>
            <w:tcW w:w="1849" w:type="dxa"/>
            <w:gridSpan w:val="2"/>
            <w:vAlign w:val="center"/>
          </w:tcPr>
          <w:p>
            <w:pPr>
              <w:spacing w:line="360" w:lineRule="auto"/>
              <w:jc w:val="center"/>
              <w:rPr>
                <w:sz w:val="18"/>
                <w:szCs w:val="21"/>
              </w:rPr>
            </w:pPr>
            <w:r>
              <w:rPr>
                <w:sz w:val="18"/>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时间参数</w:t>
            </w:r>
          </w:p>
        </w:tc>
        <w:tc>
          <w:tcPr>
            <w:tcW w:w="900" w:type="dxa"/>
            <w:vAlign w:val="center"/>
          </w:tcPr>
          <w:p>
            <w:pPr>
              <w:spacing w:line="360" w:lineRule="auto"/>
              <w:jc w:val="center"/>
              <w:rPr>
                <w:sz w:val="18"/>
                <w:szCs w:val="21"/>
              </w:rPr>
            </w:pPr>
            <w:r>
              <w:rPr>
                <w:i/>
                <w:iCs/>
                <w:sz w:val="18"/>
                <w:szCs w:val="21"/>
              </w:rPr>
              <w:t>T</w:t>
            </w:r>
            <w:r>
              <w:rPr>
                <w:sz w:val="18"/>
                <w:szCs w:val="21"/>
                <w:vertAlign w:val="subscript"/>
              </w:rPr>
              <w:t>long</w:t>
            </w:r>
          </w:p>
        </w:tc>
        <w:tc>
          <w:tcPr>
            <w:tcW w:w="885" w:type="dxa"/>
            <w:vAlign w:val="center"/>
          </w:tcPr>
          <w:p>
            <w:pPr>
              <w:spacing w:line="360" w:lineRule="auto"/>
              <w:jc w:val="center"/>
              <w:rPr>
                <w:sz w:val="18"/>
                <w:szCs w:val="21"/>
              </w:rPr>
            </w:pPr>
            <w:r>
              <w:rPr>
                <w:sz w:val="18"/>
                <w:szCs w:val="21"/>
              </w:rPr>
              <w:t>s</w:t>
            </w:r>
          </w:p>
        </w:tc>
        <w:tc>
          <w:tcPr>
            <w:tcW w:w="3919" w:type="dxa"/>
            <w:gridSpan w:val="4"/>
            <w:vAlign w:val="center"/>
          </w:tcPr>
          <w:p>
            <w:pPr>
              <w:spacing w:line="360" w:lineRule="auto"/>
              <w:jc w:val="center"/>
              <w:rPr>
                <w:sz w:val="18"/>
                <w:szCs w:val="21"/>
              </w:rPr>
            </w:pPr>
            <w:r>
              <w:rPr>
                <w:sz w:val="18"/>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591" w:type="dxa"/>
            <w:gridSpan w:val="3"/>
            <w:vAlign w:val="center"/>
          </w:tcPr>
          <w:p>
            <w:pPr>
              <w:spacing w:line="360" w:lineRule="auto"/>
              <w:jc w:val="center"/>
              <w:rPr>
                <w:sz w:val="18"/>
                <w:szCs w:val="21"/>
              </w:rPr>
            </w:pPr>
            <w:r>
              <w:rPr>
                <w:rFonts w:hint="eastAsia"/>
                <w:sz w:val="18"/>
                <w:szCs w:val="21"/>
              </w:rPr>
              <w:t>雷闪</w:t>
            </w:r>
          </w:p>
        </w:tc>
        <w:tc>
          <w:tcPr>
            <w:tcW w:w="3919"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6" w:type="dxa"/>
            <w:vAlign w:val="center"/>
          </w:tcPr>
          <w:p>
            <w:pPr>
              <w:spacing w:line="360" w:lineRule="auto"/>
              <w:jc w:val="center"/>
              <w:rPr>
                <w:sz w:val="18"/>
                <w:szCs w:val="21"/>
              </w:rPr>
            </w:pPr>
            <w:r>
              <w:rPr>
                <w:rFonts w:hint="eastAsia"/>
                <w:sz w:val="18"/>
                <w:szCs w:val="21"/>
              </w:rPr>
              <w:t>电流参数</w:t>
            </w:r>
          </w:p>
        </w:tc>
        <w:tc>
          <w:tcPr>
            <w:tcW w:w="900" w:type="dxa"/>
            <w:vAlign w:val="center"/>
          </w:tcPr>
          <w:p>
            <w:pPr>
              <w:spacing w:line="360" w:lineRule="auto"/>
              <w:jc w:val="center"/>
              <w:rPr>
                <w:sz w:val="18"/>
                <w:szCs w:val="21"/>
              </w:rPr>
            </w:pPr>
            <w:r>
              <w:rPr>
                <w:rFonts w:hint="eastAsia"/>
                <w:sz w:val="18"/>
                <w:szCs w:val="21"/>
              </w:rPr>
              <w:t>符号</w:t>
            </w:r>
          </w:p>
        </w:tc>
        <w:tc>
          <w:tcPr>
            <w:tcW w:w="885" w:type="dxa"/>
            <w:vAlign w:val="center"/>
          </w:tcPr>
          <w:p>
            <w:pPr>
              <w:spacing w:line="360" w:lineRule="auto"/>
              <w:jc w:val="center"/>
              <w:rPr>
                <w:sz w:val="18"/>
                <w:szCs w:val="21"/>
              </w:rPr>
            </w:pPr>
            <w:r>
              <w:rPr>
                <w:rFonts w:hint="eastAsia"/>
                <w:sz w:val="18"/>
                <w:szCs w:val="21"/>
              </w:rPr>
              <w:t>单位</w:t>
            </w:r>
          </w:p>
        </w:tc>
        <w:tc>
          <w:tcPr>
            <w:tcW w:w="1035" w:type="dxa"/>
            <w:vAlign w:val="center"/>
          </w:tcPr>
          <w:p>
            <w:pPr>
              <w:spacing w:line="360" w:lineRule="auto"/>
              <w:jc w:val="center"/>
              <w:rPr>
                <w:sz w:val="18"/>
                <w:szCs w:val="21"/>
              </w:rPr>
            </w:pPr>
            <w:r>
              <w:rPr>
                <w:rFonts w:hint="eastAsia"/>
                <w:sz w:val="18"/>
                <w:szCs w:val="21"/>
              </w:rPr>
              <w:t>I</w:t>
            </w:r>
          </w:p>
        </w:tc>
        <w:tc>
          <w:tcPr>
            <w:tcW w:w="1035" w:type="dxa"/>
            <w:vAlign w:val="center"/>
          </w:tcPr>
          <w:p>
            <w:pPr>
              <w:spacing w:line="360" w:lineRule="auto"/>
              <w:jc w:val="center"/>
              <w:rPr>
                <w:sz w:val="18"/>
                <w:szCs w:val="21"/>
              </w:rPr>
            </w:pPr>
            <w:r>
              <w:rPr>
                <w:rFonts w:hint="eastAsia"/>
                <w:sz w:val="18"/>
                <w:szCs w:val="21"/>
              </w:rPr>
              <w:t>II</w:t>
            </w:r>
          </w:p>
        </w:tc>
        <w:tc>
          <w:tcPr>
            <w:tcW w:w="1035" w:type="dxa"/>
            <w:vAlign w:val="center"/>
          </w:tcPr>
          <w:p>
            <w:pPr>
              <w:spacing w:line="360" w:lineRule="auto"/>
              <w:jc w:val="center"/>
              <w:rPr>
                <w:sz w:val="18"/>
                <w:szCs w:val="21"/>
              </w:rPr>
            </w:pPr>
            <w:r>
              <w:rPr>
                <w:rFonts w:hint="eastAsia"/>
                <w:sz w:val="18"/>
                <w:szCs w:val="21"/>
              </w:rPr>
              <w:t>III</w:t>
            </w:r>
          </w:p>
        </w:tc>
        <w:tc>
          <w:tcPr>
            <w:tcW w:w="814"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806" w:type="dxa"/>
            <w:vAlign w:val="center"/>
          </w:tcPr>
          <w:p>
            <w:pPr>
              <w:spacing w:line="360" w:lineRule="auto"/>
              <w:jc w:val="center"/>
              <w:rPr>
                <w:sz w:val="18"/>
                <w:szCs w:val="21"/>
              </w:rPr>
            </w:pPr>
            <w:r>
              <w:rPr>
                <w:rFonts w:hint="eastAsia"/>
                <w:sz w:val="18"/>
                <w:szCs w:val="21"/>
              </w:rPr>
              <w:t>雷闪电荷</w:t>
            </w:r>
          </w:p>
        </w:tc>
        <w:tc>
          <w:tcPr>
            <w:tcW w:w="900" w:type="dxa"/>
            <w:vAlign w:val="center"/>
          </w:tcPr>
          <w:p>
            <w:pPr>
              <w:spacing w:line="360" w:lineRule="auto"/>
              <w:jc w:val="center"/>
              <w:rPr>
                <w:sz w:val="18"/>
                <w:szCs w:val="21"/>
              </w:rPr>
            </w:pPr>
            <w:r>
              <w:rPr>
                <w:i/>
                <w:iCs/>
                <w:sz w:val="18"/>
                <w:szCs w:val="21"/>
              </w:rPr>
              <w:t>Q</w:t>
            </w:r>
            <w:r>
              <w:rPr>
                <w:sz w:val="18"/>
                <w:szCs w:val="21"/>
                <w:vertAlign w:val="subscript"/>
              </w:rPr>
              <w:t>flash</w:t>
            </w:r>
          </w:p>
        </w:tc>
        <w:tc>
          <w:tcPr>
            <w:tcW w:w="885" w:type="dxa"/>
            <w:vAlign w:val="center"/>
          </w:tcPr>
          <w:p>
            <w:pPr>
              <w:spacing w:line="360" w:lineRule="auto"/>
              <w:jc w:val="center"/>
              <w:rPr>
                <w:sz w:val="18"/>
                <w:szCs w:val="21"/>
              </w:rPr>
            </w:pPr>
            <w:r>
              <w:rPr>
                <w:sz w:val="18"/>
                <w:szCs w:val="21"/>
              </w:rPr>
              <w:t>C</w:t>
            </w:r>
          </w:p>
        </w:tc>
        <w:tc>
          <w:tcPr>
            <w:tcW w:w="1035" w:type="dxa"/>
            <w:vAlign w:val="center"/>
          </w:tcPr>
          <w:p>
            <w:pPr>
              <w:spacing w:line="360" w:lineRule="auto"/>
              <w:jc w:val="center"/>
              <w:rPr>
                <w:sz w:val="18"/>
                <w:szCs w:val="21"/>
              </w:rPr>
            </w:pPr>
            <w:r>
              <w:rPr>
                <w:sz w:val="18"/>
                <w:szCs w:val="21"/>
              </w:rPr>
              <w:t>300</w:t>
            </w:r>
          </w:p>
        </w:tc>
        <w:tc>
          <w:tcPr>
            <w:tcW w:w="1035" w:type="dxa"/>
            <w:vAlign w:val="center"/>
          </w:tcPr>
          <w:p>
            <w:pPr>
              <w:spacing w:line="360" w:lineRule="auto"/>
              <w:jc w:val="center"/>
              <w:rPr>
                <w:sz w:val="18"/>
                <w:szCs w:val="21"/>
              </w:rPr>
            </w:pPr>
            <w:r>
              <w:rPr>
                <w:sz w:val="18"/>
                <w:szCs w:val="21"/>
              </w:rPr>
              <w:t>225</w:t>
            </w:r>
          </w:p>
        </w:tc>
        <w:tc>
          <w:tcPr>
            <w:tcW w:w="1849" w:type="dxa"/>
            <w:gridSpan w:val="2"/>
            <w:vAlign w:val="center"/>
          </w:tcPr>
          <w:p>
            <w:pPr>
              <w:pStyle w:val="3"/>
              <w:pBdr>
                <w:bottom w:val="none" w:color="auto" w:sz="0" w:space="0"/>
              </w:pBdr>
              <w:tabs>
                <w:tab w:val="clear" w:pos="4153"/>
                <w:tab w:val="clear" w:pos="8306"/>
              </w:tabs>
              <w:snapToGrid/>
              <w:spacing w:line="360" w:lineRule="auto"/>
              <w:rPr>
                <w:szCs w:val="21"/>
              </w:rPr>
            </w:pPr>
            <w:r>
              <w:rPr>
                <w:szCs w:val="21"/>
              </w:rPr>
              <w:t>150</w:t>
            </w:r>
          </w:p>
        </w:tc>
      </w:tr>
    </w:tbl>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spacing w:line="400" w:lineRule="exact"/>
        <w:rPr>
          <w:rFonts w:ascii="Times New Roman" w:hAnsi="Times New Roman" w:eastAsia="宋体" w:cs="Times New Roman"/>
          <w:b/>
          <w:color w:val="000000" w:themeColor="text1"/>
          <w:sz w:val="24"/>
          <w:szCs w:val="24"/>
          <w14:textFill>
            <w14:solidFill>
              <w14:schemeClr w14:val="tx1"/>
            </w14:solidFill>
          </w14:textFill>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简述各LPL雷电参数的最小值及其对应的滚球半径。</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900"/>
        <w:gridCol w:w="885"/>
        <w:gridCol w:w="1035"/>
        <w:gridCol w:w="1035"/>
        <w:gridCol w:w="103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3450" w:type="dxa"/>
            <w:gridSpan w:val="3"/>
            <w:vAlign w:val="center"/>
          </w:tcPr>
          <w:p>
            <w:pPr>
              <w:spacing w:line="360" w:lineRule="auto"/>
              <w:jc w:val="center"/>
              <w:rPr>
                <w:sz w:val="18"/>
                <w:szCs w:val="21"/>
              </w:rPr>
            </w:pPr>
            <w:r>
              <w:rPr>
                <w:rFonts w:hint="eastAsia"/>
                <w:sz w:val="18"/>
                <w:szCs w:val="21"/>
              </w:rPr>
              <w:t>截收标准</w:t>
            </w:r>
          </w:p>
        </w:tc>
        <w:tc>
          <w:tcPr>
            <w:tcW w:w="4140"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665" w:type="dxa"/>
            <w:vAlign w:val="center"/>
          </w:tcPr>
          <w:p>
            <w:pPr>
              <w:adjustRightInd w:val="0"/>
              <w:snapToGrid w:val="0"/>
              <w:spacing w:line="360" w:lineRule="auto"/>
              <w:jc w:val="center"/>
              <w:rPr>
                <w:sz w:val="18"/>
              </w:rPr>
            </w:pPr>
          </w:p>
        </w:tc>
        <w:tc>
          <w:tcPr>
            <w:tcW w:w="900" w:type="dxa"/>
            <w:vAlign w:val="center"/>
          </w:tcPr>
          <w:p>
            <w:pPr>
              <w:spacing w:line="360" w:lineRule="auto"/>
              <w:jc w:val="center"/>
              <w:rPr>
                <w:sz w:val="18"/>
                <w:szCs w:val="21"/>
              </w:rPr>
            </w:pPr>
            <w:r>
              <w:rPr>
                <w:rFonts w:hint="eastAsia"/>
                <w:sz w:val="18"/>
                <w:szCs w:val="21"/>
              </w:rPr>
              <w:t>符号</w:t>
            </w:r>
          </w:p>
        </w:tc>
        <w:tc>
          <w:tcPr>
            <w:tcW w:w="885" w:type="dxa"/>
            <w:vAlign w:val="center"/>
          </w:tcPr>
          <w:p>
            <w:pPr>
              <w:spacing w:line="360" w:lineRule="auto"/>
              <w:jc w:val="center"/>
              <w:rPr>
                <w:sz w:val="18"/>
                <w:szCs w:val="21"/>
              </w:rPr>
            </w:pPr>
            <w:r>
              <w:rPr>
                <w:rFonts w:hint="eastAsia"/>
                <w:sz w:val="18"/>
                <w:szCs w:val="21"/>
              </w:rPr>
              <w:t>单位</w:t>
            </w:r>
          </w:p>
        </w:tc>
        <w:tc>
          <w:tcPr>
            <w:tcW w:w="1035" w:type="dxa"/>
            <w:vAlign w:val="center"/>
          </w:tcPr>
          <w:p>
            <w:pPr>
              <w:spacing w:line="360" w:lineRule="auto"/>
              <w:jc w:val="center"/>
              <w:rPr>
                <w:sz w:val="18"/>
                <w:szCs w:val="21"/>
              </w:rPr>
            </w:pPr>
            <w:r>
              <w:rPr>
                <w:rFonts w:hint="eastAsia"/>
                <w:sz w:val="18"/>
                <w:szCs w:val="21"/>
              </w:rPr>
              <w:t>I</w:t>
            </w:r>
          </w:p>
        </w:tc>
        <w:tc>
          <w:tcPr>
            <w:tcW w:w="1035" w:type="dxa"/>
            <w:vAlign w:val="center"/>
          </w:tcPr>
          <w:p>
            <w:pPr>
              <w:spacing w:line="360" w:lineRule="auto"/>
              <w:jc w:val="center"/>
              <w:rPr>
                <w:sz w:val="18"/>
                <w:szCs w:val="21"/>
              </w:rPr>
            </w:pPr>
            <w:r>
              <w:rPr>
                <w:rFonts w:hint="eastAsia"/>
                <w:sz w:val="18"/>
                <w:szCs w:val="21"/>
              </w:rPr>
              <w:t>II</w:t>
            </w:r>
          </w:p>
        </w:tc>
        <w:tc>
          <w:tcPr>
            <w:tcW w:w="1035" w:type="dxa"/>
            <w:vAlign w:val="center"/>
          </w:tcPr>
          <w:p>
            <w:pPr>
              <w:spacing w:line="360" w:lineRule="auto"/>
              <w:jc w:val="center"/>
              <w:rPr>
                <w:sz w:val="18"/>
                <w:szCs w:val="21"/>
              </w:rPr>
            </w:pPr>
            <w:r>
              <w:rPr>
                <w:rFonts w:hint="eastAsia"/>
                <w:sz w:val="18"/>
                <w:szCs w:val="21"/>
              </w:rPr>
              <w:t>III</w:t>
            </w:r>
          </w:p>
        </w:tc>
        <w:tc>
          <w:tcPr>
            <w:tcW w:w="1035"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665" w:type="dxa"/>
            <w:vAlign w:val="center"/>
          </w:tcPr>
          <w:p>
            <w:pPr>
              <w:spacing w:line="360" w:lineRule="auto"/>
              <w:jc w:val="center"/>
              <w:rPr>
                <w:sz w:val="18"/>
                <w:szCs w:val="21"/>
              </w:rPr>
            </w:pPr>
            <w:r>
              <w:rPr>
                <w:rFonts w:hint="eastAsia"/>
                <w:sz w:val="18"/>
                <w:szCs w:val="21"/>
              </w:rPr>
              <w:t>最小峰值电流</w:t>
            </w:r>
          </w:p>
        </w:tc>
        <w:tc>
          <w:tcPr>
            <w:tcW w:w="900" w:type="dxa"/>
            <w:vAlign w:val="center"/>
          </w:tcPr>
          <w:p>
            <w:pPr>
              <w:spacing w:line="360" w:lineRule="auto"/>
              <w:jc w:val="center"/>
              <w:rPr>
                <w:i/>
                <w:iCs/>
                <w:sz w:val="18"/>
                <w:szCs w:val="21"/>
              </w:rPr>
            </w:pPr>
            <w:r>
              <w:rPr>
                <w:rFonts w:hint="eastAsia"/>
                <w:i/>
                <w:iCs/>
                <w:sz w:val="18"/>
                <w:szCs w:val="21"/>
              </w:rPr>
              <w:t>I</w:t>
            </w:r>
          </w:p>
        </w:tc>
        <w:tc>
          <w:tcPr>
            <w:tcW w:w="885" w:type="dxa"/>
            <w:vAlign w:val="center"/>
          </w:tcPr>
          <w:p>
            <w:pPr>
              <w:spacing w:line="360" w:lineRule="auto"/>
              <w:jc w:val="center"/>
              <w:rPr>
                <w:sz w:val="18"/>
                <w:szCs w:val="21"/>
              </w:rPr>
            </w:pPr>
            <w:r>
              <w:rPr>
                <w:rFonts w:hint="eastAsia"/>
                <w:sz w:val="18"/>
                <w:szCs w:val="21"/>
              </w:rPr>
              <w:t>kA</w:t>
            </w:r>
          </w:p>
        </w:tc>
        <w:tc>
          <w:tcPr>
            <w:tcW w:w="1035" w:type="dxa"/>
            <w:vAlign w:val="center"/>
          </w:tcPr>
          <w:p>
            <w:pPr>
              <w:spacing w:line="360" w:lineRule="auto"/>
              <w:jc w:val="center"/>
              <w:rPr>
                <w:sz w:val="18"/>
                <w:szCs w:val="21"/>
              </w:rPr>
            </w:pPr>
            <w:r>
              <w:rPr>
                <w:rFonts w:hint="eastAsia"/>
                <w:sz w:val="18"/>
                <w:szCs w:val="21"/>
              </w:rPr>
              <w:t>3</w:t>
            </w:r>
          </w:p>
        </w:tc>
        <w:tc>
          <w:tcPr>
            <w:tcW w:w="1035" w:type="dxa"/>
            <w:vAlign w:val="center"/>
          </w:tcPr>
          <w:p>
            <w:pPr>
              <w:spacing w:line="360" w:lineRule="auto"/>
              <w:jc w:val="center"/>
              <w:rPr>
                <w:sz w:val="18"/>
                <w:szCs w:val="21"/>
              </w:rPr>
            </w:pPr>
            <w:r>
              <w:rPr>
                <w:rFonts w:hint="eastAsia"/>
                <w:sz w:val="18"/>
                <w:szCs w:val="21"/>
              </w:rPr>
              <w:t>5</w:t>
            </w:r>
          </w:p>
        </w:tc>
        <w:tc>
          <w:tcPr>
            <w:tcW w:w="1035" w:type="dxa"/>
            <w:vAlign w:val="center"/>
          </w:tcPr>
          <w:p>
            <w:pPr>
              <w:spacing w:line="360" w:lineRule="auto"/>
              <w:jc w:val="center"/>
              <w:rPr>
                <w:sz w:val="18"/>
                <w:szCs w:val="21"/>
              </w:rPr>
            </w:pPr>
            <w:r>
              <w:rPr>
                <w:rFonts w:hint="eastAsia"/>
                <w:sz w:val="18"/>
                <w:szCs w:val="21"/>
              </w:rPr>
              <w:t>10</w:t>
            </w:r>
          </w:p>
        </w:tc>
        <w:tc>
          <w:tcPr>
            <w:tcW w:w="1035" w:type="dxa"/>
            <w:vAlign w:val="center"/>
          </w:tcPr>
          <w:p>
            <w:pPr>
              <w:spacing w:line="360" w:lineRule="auto"/>
              <w:jc w:val="center"/>
              <w:rPr>
                <w:sz w:val="18"/>
                <w:szCs w:val="21"/>
              </w:rPr>
            </w:pPr>
            <w:r>
              <w:rPr>
                <w:rFonts w:hint="eastAsia"/>
                <w:sz w:val="18"/>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665" w:type="dxa"/>
            <w:vAlign w:val="center"/>
          </w:tcPr>
          <w:p>
            <w:pPr>
              <w:spacing w:line="360" w:lineRule="auto"/>
              <w:jc w:val="center"/>
              <w:rPr>
                <w:sz w:val="18"/>
                <w:szCs w:val="21"/>
              </w:rPr>
            </w:pPr>
            <w:r>
              <w:rPr>
                <w:rFonts w:hint="eastAsia"/>
                <w:sz w:val="18"/>
                <w:szCs w:val="21"/>
              </w:rPr>
              <w:t>滚球半径</w:t>
            </w:r>
          </w:p>
        </w:tc>
        <w:tc>
          <w:tcPr>
            <w:tcW w:w="900" w:type="dxa"/>
            <w:vAlign w:val="center"/>
          </w:tcPr>
          <w:p>
            <w:pPr>
              <w:spacing w:line="360" w:lineRule="auto"/>
              <w:jc w:val="center"/>
              <w:rPr>
                <w:i/>
                <w:iCs/>
                <w:sz w:val="18"/>
                <w:szCs w:val="21"/>
              </w:rPr>
            </w:pPr>
            <w:r>
              <w:rPr>
                <w:rFonts w:hint="eastAsia"/>
                <w:i/>
                <w:iCs/>
                <w:sz w:val="18"/>
                <w:szCs w:val="21"/>
              </w:rPr>
              <w:t>r</w:t>
            </w:r>
          </w:p>
        </w:tc>
        <w:tc>
          <w:tcPr>
            <w:tcW w:w="885" w:type="dxa"/>
            <w:vAlign w:val="center"/>
          </w:tcPr>
          <w:p>
            <w:pPr>
              <w:spacing w:line="360" w:lineRule="auto"/>
              <w:jc w:val="center"/>
              <w:rPr>
                <w:sz w:val="18"/>
                <w:szCs w:val="21"/>
              </w:rPr>
            </w:pPr>
            <w:r>
              <w:rPr>
                <w:rFonts w:hint="eastAsia"/>
                <w:sz w:val="18"/>
                <w:szCs w:val="21"/>
              </w:rPr>
              <w:t>m</w:t>
            </w:r>
          </w:p>
        </w:tc>
        <w:tc>
          <w:tcPr>
            <w:tcW w:w="1035" w:type="dxa"/>
            <w:vAlign w:val="center"/>
          </w:tcPr>
          <w:p>
            <w:pPr>
              <w:spacing w:line="360" w:lineRule="auto"/>
              <w:jc w:val="center"/>
              <w:rPr>
                <w:sz w:val="18"/>
                <w:szCs w:val="21"/>
              </w:rPr>
            </w:pPr>
            <w:r>
              <w:rPr>
                <w:rFonts w:hint="eastAsia"/>
                <w:sz w:val="18"/>
                <w:szCs w:val="21"/>
              </w:rPr>
              <w:t>20</w:t>
            </w:r>
          </w:p>
        </w:tc>
        <w:tc>
          <w:tcPr>
            <w:tcW w:w="1035" w:type="dxa"/>
            <w:vAlign w:val="center"/>
          </w:tcPr>
          <w:p>
            <w:pPr>
              <w:spacing w:line="360" w:lineRule="auto"/>
              <w:jc w:val="center"/>
              <w:rPr>
                <w:sz w:val="18"/>
                <w:szCs w:val="21"/>
              </w:rPr>
            </w:pPr>
            <w:r>
              <w:rPr>
                <w:rFonts w:hint="eastAsia"/>
                <w:sz w:val="18"/>
                <w:szCs w:val="21"/>
              </w:rPr>
              <w:t>30</w:t>
            </w:r>
          </w:p>
        </w:tc>
        <w:tc>
          <w:tcPr>
            <w:tcW w:w="1035" w:type="dxa"/>
            <w:vAlign w:val="center"/>
          </w:tcPr>
          <w:p>
            <w:pPr>
              <w:spacing w:line="360" w:lineRule="auto"/>
              <w:jc w:val="center"/>
              <w:rPr>
                <w:sz w:val="18"/>
                <w:szCs w:val="21"/>
              </w:rPr>
            </w:pPr>
            <w:r>
              <w:rPr>
                <w:rFonts w:hint="eastAsia"/>
                <w:sz w:val="18"/>
                <w:szCs w:val="21"/>
              </w:rPr>
              <w:t>45</w:t>
            </w:r>
          </w:p>
        </w:tc>
        <w:tc>
          <w:tcPr>
            <w:tcW w:w="1035" w:type="dxa"/>
            <w:vAlign w:val="center"/>
          </w:tcPr>
          <w:p>
            <w:pPr>
              <w:spacing w:line="360" w:lineRule="auto"/>
              <w:jc w:val="center"/>
              <w:rPr>
                <w:sz w:val="18"/>
                <w:szCs w:val="21"/>
              </w:rPr>
            </w:pPr>
            <w:r>
              <w:rPr>
                <w:rFonts w:hint="eastAsia"/>
                <w:sz w:val="18"/>
                <w:szCs w:val="21"/>
              </w:rPr>
              <w:t>60</w:t>
            </w:r>
          </w:p>
        </w:tc>
      </w:tr>
    </w:tbl>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8"/>
        <w:spacing w:line="400" w:lineRule="exact"/>
        <w:ind w:left="400"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简述各LPL雷电参数在一定范围内的概率。</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0"/>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780" w:type="dxa"/>
            <w:vMerge w:val="restart"/>
            <w:vAlign w:val="center"/>
          </w:tcPr>
          <w:p>
            <w:pPr>
              <w:spacing w:line="360" w:lineRule="auto"/>
              <w:jc w:val="center"/>
              <w:rPr>
                <w:sz w:val="18"/>
                <w:szCs w:val="21"/>
              </w:rPr>
            </w:pPr>
            <w:r>
              <w:rPr>
                <w:rFonts w:hint="eastAsia"/>
                <w:sz w:val="18"/>
                <w:szCs w:val="21"/>
              </w:rPr>
              <w:t>雷电流参数在下列范围内的概率</w:t>
            </w:r>
          </w:p>
        </w:tc>
        <w:tc>
          <w:tcPr>
            <w:tcW w:w="3600" w:type="dxa"/>
            <w:gridSpan w:val="4"/>
            <w:vAlign w:val="center"/>
          </w:tcPr>
          <w:p>
            <w:pPr>
              <w:spacing w:line="360" w:lineRule="auto"/>
              <w:jc w:val="center"/>
              <w:rPr>
                <w:sz w:val="18"/>
                <w:szCs w:val="21"/>
              </w:rPr>
            </w:pPr>
            <w:r>
              <w:rPr>
                <w:rFonts w:hint="eastAsia"/>
                <w:sz w:val="18"/>
                <w:szCs w:val="21"/>
              </w:rPr>
              <w:t>LPL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780" w:type="dxa"/>
            <w:vMerge w:val="continue"/>
            <w:vAlign w:val="center"/>
          </w:tcPr>
          <w:p>
            <w:pPr>
              <w:adjustRightInd w:val="0"/>
              <w:snapToGrid w:val="0"/>
              <w:spacing w:line="360" w:lineRule="auto"/>
              <w:jc w:val="center"/>
              <w:rPr>
                <w:sz w:val="18"/>
              </w:rPr>
            </w:pPr>
          </w:p>
        </w:tc>
        <w:tc>
          <w:tcPr>
            <w:tcW w:w="900" w:type="dxa"/>
            <w:vAlign w:val="center"/>
          </w:tcPr>
          <w:p>
            <w:pPr>
              <w:spacing w:line="360" w:lineRule="auto"/>
              <w:jc w:val="center"/>
              <w:rPr>
                <w:sz w:val="18"/>
                <w:szCs w:val="21"/>
              </w:rPr>
            </w:pPr>
            <w:r>
              <w:rPr>
                <w:rFonts w:hint="eastAsia"/>
                <w:sz w:val="18"/>
                <w:szCs w:val="21"/>
              </w:rPr>
              <w:t>I</w:t>
            </w:r>
          </w:p>
        </w:tc>
        <w:tc>
          <w:tcPr>
            <w:tcW w:w="900" w:type="dxa"/>
            <w:vAlign w:val="center"/>
          </w:tcPr>
          <w:p>
            <w:pPr>
              <w:spacing w:line="360" w:lineRule="auto"/>
              <w:jc w:val="center"/>
              <w:rPr>
                <w:sz w:val="18"/>
                <w:szCs w:val="21"/>
              </w:rPr>
            </w:pPr>
            <w:r>
              <w:rPr>
                <w:rFonts w:hint="eastAsia"/>
                <w:sz w:val="18"/>
                <w:szCs w:val="21"/>
              </w:rPr>
              <w:t>II</w:t>
            </w:r>
          </w:p>
        </w:tc>
        <w:tc>
          <w:tcPr>
            <w:tcW w:w="900" w:type="dxa"/>
            <w:vAlign w:val="center"/>
          </w:tcPr>
          <w:p>
            <w:pPr>
              <w:spacing w:line="360" w:lineRule="auto"/>
              <w:jc w:val="center"/>
              <w:rPr>
                <w:sz w:val="18"/>
                <w:szCs w:val="21"/>
              </w:rPr>
            </w:pPr>
            <w:r>
              <w:rPr>
                <w:rFonts w:hint="eastAsia"/>
                <w:sz w:val="18"/>
                <w:szCs w:val="21"/>
              </w:rPr>
              <w:t>III</w:t>
            </w:r>
          </w:p>
        </w:tc>
        <w:tc>
          <w:tcPr>
            <w:tcW w:w="900" w:type="dxa"/>
            <w:vAlign w:val="center"/>
          </w:tcPr>
          <w:p>
            <w:pPr>
              <w:spacing w:line="360" w:lineRule="auto"/>
              <w:jc w:val="center"/>
              <w:rPr>
                <w:sz w:val="18"/>
                <w:szCs w:val="21"/>
              </w:rPr>
            </w:pPr>
            <w:r>
              <w:rPr>
                <w:rFonts w:hint="eastAsia"/>
                <w:sz w:val="18"/>
                <w:szCs w:val="21"/>
              </w:rPr>
              <w:t>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780" w:type="dxa"/>
            <w:vAlign w:val="center"/>
          </w:tcPr>
          <w:p>
            <w:pPr>
              <w:spacing w:line="360" w:lineRule="auto"/>
              <w:jc w:val="center"/>
              <w:rPr>
                <w:sz w:val="18"/>
                <w:szCs w:val="21"/>
              </w:rPr>
            </w:pPr>
            <w:r>
              <w:rPr>
                <w:rFonts w:hint="eastAsia"/>
                <w:sz w:val="18"/>
                <w:szCs w:val="21"/>
              </w:rPr>
              <w:t>小于</w:t>
            </w:r>
            <w:r>
              <w:rPr>
                <w:sz w:val="18"/>
                <w:szCs w:val="21"/>
              </w:rPr>
              <w:t>GB</w:t>
            </w:r>
            <w:r>
              <w:rPr>
                <w:rFonts w:hint="eastAsia"/>
                <w:sz w:val="18"/>
                <w:szCs w:val="21"/>
              </w:rPr>
              <w:t>/T</w:t>
            </w:r>
            <w:r>
              <w:rPr>
                <w:sz w:val="18"/>
                <w:szCs w:val="21"/>
              </w:rPr>
              <w:t xml:space="preserve"> </w:t>
            </w:r>
            <w:r>
              <w:rPr>
                <w:rFonts w:hint="eastAsia"/>
                <w:sz w:val="18"/>
                <w:szCs w:val="21"/>
              </w:rPr>
              <w:t>21714.1</w:t>
            </w:r>
            <w:r>
              <w:rPr>
                <w:sz w:val="18"/>
                <w:szCs w:val="21"/>
              </w:rPr>
              <w:t>-201</w:t>
            </w:r>
            <w:r>
              <w:rPr>
                <w:rFonts w:hint="eastAsia"/>
                <w:sz w:val="18"/>
                <w:szCs w:val="21"/>
              </w:rPr>
              <w:t>5表3所示的最大值</w:t>
            </w:r>
          </w:p>
        </w:tc>
        <w:tc>
          <w:tcPr>
            <w:tcW w:w="900" w:type="dxa"/>
            <w:vAlign w:val="center"/>
          </w:tcPr>
          <w:p>
            <w:pPr>
              <w:spacing w:line="360" w:lineRule="auto"/>
              <w:jc w:val="center"/>
              <w:rPr>
                <w:sz w:val="18"/>
                <w:szCs w:val="21"/>
              </w:rPr>
            </w:pPr>
            <w:r>
              <w:rPr>
                <w:sz w:val="18"/>
                <w:szCs w:val="21"/>
              </w:rPr>
              <w:t>0.99</w:t>
            </w:r>
          </w:p>
        </w:tc>
        <w:tc>
          <w:tcPr>
            <w:tcW w:w="900" w:type="dxa"/>
            <w:vAlign w:val="center"/>
          </w:tcPr>
          <w:p>
            <w:pPr>
              <w:spacing w:line="360" w:lineRule="auto"/>
              <w:jc w:val="center"/>
              <w:rPr>
                <w:sz w:val="18"/>
                <w:szCs w:val="21"/>
              </w:rPr>
            </w:pPr>
            <w:r>
              <w:rPr>
                <w:sz w:val="18"/>
                <w:szCs w:val="21"/>
              </w:rPr>
              <w:t>0.9</w:t>
            </w:r>
            <w:r>
              <w:rPr>
                <w:rFonts w:hint="eastAsia"/>
                <w:sz w:val="18"/>
                <w:szCs w:val="21"/>
              </w:rPr>
              <w:t>8</w:t>
            </w:r>
          </w:p>
        </w:tc>
        <w:tc>
          <w:tcPr>
            <w:tcW w:w="900" w:type="dxa"/>
            <w:vAlign w:val="center"/>
          </w:tcPr>
          <w:p>
            <w:pPr>
              <w:spacing w:line="360" w:lineRule="auto"/>
              <w:jc w:val="center"/>
              <w:rPr>
                <w:sz w:val="18"/>
                <w:szCs w:val="21"/>
              </w:rPr>
            </w:pPr>
            <w:r>
              <w:rPr>
                <w:sz w:val="18"/>
                <w:szCs w:val="21"/>
              </w:rPr>
              <w:t>0.9</w:t>
            </w:r>
            <w:r>
              <w:rPr>
                <w:rFonts w:hint="eastAsia"/>
                <w:sz w:val="18"/>
                <w:szCs w:val="21"/>
              </w:rPr>
              <w:t>7</w:t>
            </w:r>
          </w:p>
        </w:tc>
        <w:tc>
          <w:tcPr>
            <w:tcW w:w="900" w:type="dxa"/>
            <w:vAlign w:val="center"/>
          </w:tcPr>
          <w:p>
            <w:pPr>
              <w:spacing w:line="360" w:lineRule="auto"/>
              <w:jc w:val="center"/>
              <w:rPr>
                <w:sz w:val="18"/>
                <w:szCs w:val="21"/>
              </w:rPr>
            </w:pPr>
            <w:r>
              <w:rPr>
                <w:sz w:val="18"/>
                <w:szCs w:val="21"/>
              </w:rPr>
              <w:t>0.</w:t>
            </w:r>
            <w:r>
              <w:rPr>
                <w:rFonts w:hint="eastAsia"/>
                <w:sz w:val="18"/>
                <w:szCs w:val="21"/>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780" w:type="dxa"/>
            <w:vAlign w:val="center"/>
          </w:tcPr>
          <w:p>
            <w:pPr>
              <w:spacing w:line="360" w:lineRule="auto"/>
              <w:jc w:val="center"/>
              <w:rPr>
                <w:sz w:val="18"/>
                <w:szCs w:val="21"/>
              </w:rPr>
            </w:pPr>
            <w:r>
              <w:rPr>
                <w:rFonts w:hint="eastAsia"/>
                <w:sz w:val="18"/>
                <w:szCs w:val="21"/>
              </w:rPr>
              <w:t>大于</w:t>
            </w:r>
            <w:r>
              <w:rPr>
                <w:sz w:val="18"/>
                <w:szCs w:val="21"/>
              </w:rPr>
              <w:t>GB</w:t>
            </w:r>
            <w:r>
              <w:rPr>
                <w:rFonts w:hint="eastAsia"/>
                <w:sz w:val="18"/>
                <w:szCs w:val="21"/>
              </w:rPr>
              <w:t>/T</w:t>
            </w:r>
            <w:r>
              <w:rPr>
                <w:sz w:val="18"/>
                <w:szCs w:val="21"/>
              </w:rPr>
              <w:t xml:space="preserve"> </w:t>
            </w:r>
            <w:r>
              <w:rPr>
                <w:rFonts w:hint="eastAsia"/>
                <w:sz w:val="18"/>
                <w:szCs w:val="21"/>
              </w:rPr>
              <w:t>21714.1</w:t>
            </w:r>
            <w:r>
              <w:rPr>
                <w:sz w:val="18"/>
                <w:szCs w:val="21"/>
              </w:rPr>
              <w:t>-201</w:t>
            </w:r>
            <w:r>
              <w:rPr>
                <w:rFonts w:hint="eastAsia"/>
                <w:sz w:val="18"/>
                <w:szCs w:val="21"/>
              </w:rPr>
              <w:t>5表4所示的最小值</w:t>
            </w:r>
          </w:p>
        </w:tc>
        <w:tc>
          <w:tcPr>
            <w:tcW w:w="900" w:type="dxa"/>
            <w:vAlign w:val="center"/>
          </w:tcPr>
          <w:p>
            <w:pPr>
              <w:spacing w:line="360" w:lineRule="auto"/>
              <w:jc w:val="center"/>
              <w:rPr>
                <w:sz w:val="18"/>
                <w:szCs w:val="21"/>
              </w:rPr>
            </w:pPr>
            <w:r>
              <w:rPr>
                <w:sz w:val="18"/>
                <w:szCs w:val="21"/>
              </w:rPr>
              <w:t>0.99</w:t>
            </w:r>
          </w:p>
        </w:tc>
        <w:tc>
          <w:tcPr>
            <w:tcW w:w="900" w:type="dxa"/>
            <w:vAlign w:val="center"/>
          </w:tcPr>
          <w:p>
            <w:pPr>
              <w:spacing w:line="360" w:lineRule="auto"/>
              <w:jc w:val="center"/>
              <w:rPr>
                <w:sz w:val="18"/>
                <w:szCs w:val="21"/>
              </w:rPr>
            </w:pPr>
            <w:r>
              <w:rPr>
                <w:sz w:val="18"/>
                <w:szCs w:val="21"/>
              </w:rPr>
              <w:t>0.9</w:t>
            </w:r>
            <w:r>
              <w:rPr>
                <w:rFonts w:hint="eastAsia"/>
                <w:sz w:val="18"/>
                <w:szCs w:val="21"/>
              </w:rPr>
              <w:t>7</w:t>
            </w:r>
          </w:p>
        </w:tc>
        <w:tc>
          <w:tcPr>
            <w:tcW w:w="900" w:type="dxa"/>
            <w:vAlign w:val="center"/>
          </w:tcPr>
          <w:p>
            <w:pPr>
              <w:spacing w:line="360" w:lineRule="auto"/>
              <w:jc w:val="center"/>
              <w:rPr>
                <w:sz w:val="18"/>
                <w:szCs w:val="21"/>
              </w:rPr>
            </w:pPr>
            <w:r>
              <w:rPr>
                <w:sz w:val="18"/>
                <w:szCs w:val="21"/>
              </w:rPr>
              <w:t>0.9</w:t>
            </w:r>
            <w:r>
              <w:rPr>
                <w:rFonts w:hint="eastAsia"/>
                <w:sz w:val="18"/>
                <w:szCs w:val="21"/>
              </w:rPr>
              <w:t>1</w:t>
            </w:r>
          </w:p>
        </w:tc>
        <w:tc>
          <w:tcPr>
            <w:tcW w:w="900" w:type="dxa"/>
            <w:vAlign w:val="center"/>
          </w:tcPr>
          <w:p>
            <w:pPr>
              <w:spacing w:line="360" w:lineRule="auto"/>
              <w:jc w:val="center"/>
              <w:rPr>
                <w:sz w:val="18"/>
                <w:szCs w:val="21"/>
              </w:rPr>
            </w:pPr>
            <w:r>
              <w:rPr>
                <w:sz w:val="18"/>
                <w:szCs w:val="21"/>
              </w:rPr>
              <w:t>0.</w:t>
            </w:r>
            <w:r>
              <w:rPr>
                <w:rFonts w:hint="eastAsia"/>
                <w:sz w:val="18"/>
                <w:szCs w:val="21"/>
              </w:rPr>
              <w:t>84</w:t>
            </w:r>
          </w:p>
        </w:tc>
      </w:tr>
    </w:tbl>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第8.2条</w:t>
      </w:r>
    </w:p>
    <w:p>
      <w:pPr>
        <w:pStyle w:val="8"/>
        <w:spacing w:line="400" w:lineRule="exact"/>
        <w:ind w:left="400"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简述根据雷电威胁的不同所定义的LPZ。</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spacing w:line="400" w:lineRule="exact"/>
        <w:ind w:firstLine="240" w:firstLineChars="100"/>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LPZ0</w:t>
      </w:r>
      <w:r>
        <w:rPr>
          <w:rFonts w:hint="eastAsia" w:ascii="Times New Roman" w:hAnsi="Times New Roman" w:eastAsia="宋体" w:cs="Times New Roman"/>
          <w:bCs/>
          <w:color w:val="000000" w:themeColor="text1"/>
          <w:sz w:val="24"/>
          <w:szCs w:val="24"/>
          <w:vertAlign w:val="subscript"/>
          <w14:textFill>
            <w14:solidFill>
              <w14:schemeClr w14:val="tx1"/>
            </w14:solidFill>
          </w14:textFill>
        </w:rPr>
        <w:t>A</w:t>
      </w:r>
      <w:r>
        <w:rPr>
          <w:rFonts w:hint="eastAsia" w:ascii="Times New Roman" w:hAnsi="Times New Roman" w:eastAsia="宋体" w:cs="Times New Roman"/>
          <w:bCs/>
          <w:color w:val="000000" w:themeColor="text1"/>
          <w:sz w:val="24"/>
          <w:szCs w:val="24"/>
          <w14:textFill>
            <w14:solidFill>
              <w14:schemeClr w14:val="tx1"/>
            </w14:solidFill>
          </w14:textFill>
        </w:rPr>
        <w:t>：受直接雷击和全部雷电电磁场威胁的区域。该区域的内部系统可能受到全部或部分雷电浪涌电流的影响。</w:t>
      </w:r>
    </w:p>
    <w:p>
      <w:pPr>
        <w:spacing w:line="400" w:lineRule="exact"/>
        <w:ind w:firstLine="240" w:firstLineChars="100"/>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LPZ0</w:t>
      </w:r>
      <w:r>
        <w:rPr>
          <w:rFonts w:hint="eastAsia" w:ascii="Times New Roman" w:hAnsi="Times New Roman" w:eastAsia="宋体" w:cs="Times New Roman"/>
          <w:bCs/>
          <w:color w:val="000000" w:themeColor="text1"/>
          <w:sz w:val="24"/>
          <w:szCs w:val="24"/>
          <w:vertAlign w:val="subscript"/>
          <w14:textFill>
            <w14:solidFill>
              <w14:schemeClr w14:val="tx1"/>
            </w14:solidFill>
          </w14:textFill>
        </w:rPr>
        <w:t>B</w:t>
      </w:r>
      <w:r>
        <w:rPr>
          <w:rFonts w:hint="eastAsia" w:ascii="Times New Roman" w:hAnsi="Times New Roman" w:eastAsia="宋体" w:cs="Times New Roman"/>
          <w:bCs/>
          <w:color w:val="000000" w:themeColor="text1"/>
          <w:sz w:val="24"/>
          <w:szCs w:val="24"/>
          <w14:textFill>
            <w14:solidFill>
              <w14:schemeClr w14:val="tx1"/>
            </w14:solidFill>
          </w14:textFill>
        </w:rPr>
        <w:t>：直接雷击的防护区域，但该区域的威胁仍是全部雷电电磁场。该区域的内部系统可能受到部分雷电浪涌电流的影响。</w:t>
      </w:r>
    </w:p>
    <w:p>
      <w:pPr>
        <w:spacing w:line="400" w:lineRule="exact"/>
        <w:ind w:firstLine="240" w:firstLineChars="100"/>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LPZ1：由于分流和边界处SPD的作用使浪涌电流受到限制的区域。该区域的空间屏蔽可以衰减雷电电磁场。</w:t>
      </w:r>
    </w:p>
    <w:p>
      <w:pPr>
        <w:spacing w:line="400" w:lineRule="exact"/>
        <w:ind w:firstLine="240" w:firstLineChars="100"/>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LPZ2~n：由于分流和边界处附加SPD的作用使浪涌电流受到进一步限制的区域。该区域的附加空间屏蔽可以进一步衰减雷电电磁场。</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21714.1</w:t>
      </w:r>
      <w:r>
        <w:rPr>
          <w:rFonts w:ascii="Times New Roman" w:hAnsi="Times New Roman"/>
          <w:color w:val="000000"/>
          <w:sz w:val="24"/>
          <w:szCs w:val="24"/>
        </w:rPr>
        <w:t>-201</w:t>
      </w:r>
      <w:r>
        <w:rPr>
          <w:rFonts w:hint="eastAsia" w:ascii="Times New Roman" w:hAnsi="Times New Roman"/>
          <w:color w:val="000000"/>
          <w:sz w:val="24"/>
          <w:szCs w:val="24"/>
        </w:rPr>
        <w:t>5《雷电防护 第1部分：建筑物的物理损坏和生命危险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第8.3条</w:t>
      </w:r>
    </w:p>
    <w:p>
      <w:pPr>
        <w:pStyle w:val="8"/>
        <w:spacing w:line="400" w:lineRule="exact"/>
        <w:ind w:firstLine="0" w:firstLineChars="0"/>
        <w:jc w:val="left"/>
        <w:rPr>
          <w:rFonts w:ascii="Times New Roman" w:hAnsi="Times New Roman"/>
          <w:color w:val="00000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外部雷电防护装置的一般要求是什么？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外部LPS用于截收建筑物的直击雷（包括建筑物侧面的闪络），将雷电流从雷击点引导入地。同时将雷电流分散入地，避免产生热效应或机械损坏，以及在容易引发火灾或爆炸的地方产生危险火花。大多数情况下，外部LPS可固定到受保护建筑物上。当雷击点或通过雷电流的导线发生致热效应和爆炸效应，可能引起建筑物损坏或建筑物内部损坏时，应考虑采用分离的外部LPS。当建筑物内部敏感的物体要求降低引下线中雷电流电磁脉冲产生的辐射电磁场时，可考虑采用分离的外部LPS。永久保留在建筑物中或建筑物上，且不会发生变动的金属材料构成的自然构件可作为LPS部件。其它自然构件应视为附加在LPS上的部件。</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第5.1条</w:t>
      </w:r>
    </w:p>
    <w:p>
      <w:pPr>
        <w:pStyle w:val="5"/>
        <w:spacing w:before="0" w:beforeAutospacing="0" w:after="0" w:afterAutospacing="0" w:line="400" w:lineRule="exact"/>
        <w:ind w:firstLine="240" w:firstLineChars="10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安装接闪器的一般要求是什么？</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1）安装设计适当的接闪器，能大大减少雷电流侵入建筑物的概率。</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2）接闪器可由以下任一部件组成：a)杆状接闪器（包括独立支座）；b)悬链线；c)网状导体。</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3）位于屋顶的独立的杆状接闪器应互相连接，以利于分散雷电流。不允许采用具有放射性的接闪器。</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4）接闪器应安装在建筑物的角上、暴露在外的点、边缘（特别是屋顶边缘）。接闪器的定位通常有三种方式：保护角法、滚球法、网格法。</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5）滚球法适用于任何场合。</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6）保护角法适用于外形简单的建筑物，但受到接闪器高度的限制。</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7）网格法适用于对平面表面的保护。</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第5.2.1和5.2.2条</w:t>
      </w:r>
    </w:p>
    <w:p>
      <w:pPr>
        <w:pStyle w:val="5"/>
        <w:spacing w:before="0" w:beforeAutospacing="0" w:after="0" w:afterAutospacing="0" w:line="400" w:lineRule="exact"/>
        <w:ind w:firstLine="240" w:firstLineChars="10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安装用于高层建筑防侧面闪络的接闪器有什么要求？</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高于60m的建筑物，侧面可能会发生闪络，特别是表面的角、点及边缘。为保护高层建筑的上部（大于建筑物高度的80％）及建筑物上安装的设备（见</w:t>
      </w: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w:t>
      </w:r>
      <w:r>
        <w:rPr>
          <w:rFonts w:hint="eastAsia" w:ascii="Times New Roman" w:hAnsi="Times New Roman"/>
          <w:color w:val="000000"/>
        </w:rPr>
        <w:t>21714.3</w:t>
      </w:r>
      <w:r>
        <w:rPr>
          <w:rFonts w:ascii="Times New Roman" w:hAnsi="Times New Roman"/>
          <w:color w:val="000000"/>
        </w:rPr>
        <w:t>-201</w:t>
      </w:r>
      <w:r>
        <w:rPr>
          <w:rFonts w:hint="eastAsia" w:ascii="Times New Roman" w:hAnsi="Times New Roman"/>
          <w:color w:val="000000"/>
        </w:rPr>
        <w:t>5附录A），应安装接闪器。建筑物上部的保护，同样可应用屋顶上接闪器的定位原则。此外，对高度超过120m的建筑物，超过120m并可能遭到损坏的所有部分应加以保护。</w:t>
      </w:r>
    </w:p>
    <w:p>
      <w:pPr>
        <w:pStyle w:val="8"/>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：GB</w:t>
      </w:r>
      <w:r>
        <w:rPr>
          <w:rFonts w:hint="eastAsia" w:ascii="Times New Roman" w:hAnsi="Times New Roman"/>
          <w:color w:val="000000"/>
          <w:sz w:val="24"/>
          <w:szCs w:val="24"/>
        </w:rPr>
        <w:t>/T</w:t>
      </w:r>
      <w:r>
        <w:rPr>
          <w:rFonts w:ascii="Times New Roman" w:hAnsi="Times New Roman"/>
          <w:color w:val="000000"/>
          <w:sz w:val="24"/>
          <w:szCs w:val="24"/>
        </w:rPr>
        <w:t xml:space="preserve"> </w:t>
      </w:r>
      <w:r>
        <w:rPr>
          <w:rFonts w:hint="eastAsia" w:ascii="Times New Roman" w:hAnsi="Times New Roman"/>
          <w:color w:val="000000"/>
          <w:sz w:val="24"/>
          <w:szCs w:val="24"/>
        </w:rPr>
        <w:t>21714.3</w:t>
      </w:r>
      <w:r>
        <w:rPr>
          <w:rFonts w:ascii="Times New Roman" w:hAnsi="Times New Roman"/>
          <w:color w:val="000000"/>
          <w:sz w:val="24"/>
          <w:szCs w:val="24"/>
        </w:rPr>
        <w:t>-201</w:t>
      </w:r>
      <w:r>
        <w:rPr>
          <w:rFonts w:hint="eastAsia" w:ascii="Times New Roman" w:hAnsi="Times New Roman"/>
          <w:color w:val="000000"/>
          <w:sz w:val="24"/>
          <w:szCs w:val="24"/>
        </w:rPr>
        <w:t>5《雷电防护 第3部分：建筑物的物理损坏和生命危险</w:t>
      </w:r>
      <w:r>
        <w:rPr>
          <w:rFonts w:ascii="Times New Roman" w:hAnsi="Times New Roman"/>
          <w:color w:val="000000"/>
          <w:sz w:val="24"/>
          <w:szCs w:val="24"/>
        </w:rPr>
        <w:t>》</w:t>
      </w:r>
      <w:r>
        <w:rPr>
          <w:rFonts w:hint="eastAsia" w:ascii="Times New Roman" w:hAnsi="Times New Roman"/>
          <w:color w:val="000000"/>
          <w:sz w:val="24"/>
          <w:szCs w:val="24"/>
        </w:rPr>
        <w:t>第5.2.1和5.2.3条</w:t>
      </w:r>
    </w:p>
    <w:p>
      <w:pPr>
        <w:pStyle w:val="8"/>
        <w:spacing w:line="400" w:lineRule="exact"/>
        <w:ind w:left="400" w:firstLine="0" w:firstLineChars="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独立LPS的配置应当遵循哪些原则？</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1）如果接闪器位于多个（或一个）分离支撑杆上（支撑杆不为金属材料或互联钢筋），每个支撑杆至少应安装一根引下线。支撑杆为金属材料或互联钢筋，则不需另外的引下线。</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2）如果接闪器为悬链线（或一根导线），则每一悬链支点至少需要一根引下线。</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3）如果接闪器形成了一个导线网格，则每一支撑线的末端至少需要一根引下线。</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21714.3-2015</w:t>
      </w:r>
      <w:r>
        <w:rPr>
          <w:rFonts w:hint="eastAsia" w:ascii="Times New Roman" w:hAnsi="Times New Roman" w:cs="Times New Roman"/>
          <w:color w:val="000000"/>
        </w:rPr>
        <w:t>《雷电防护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第5.3.2条</w:t>
      </w:r>
    </w:p>
    <w:p>
      <w:pPr>
        <w:pStyle w:val="5"/>
        <w:spacing w:before="0" w:beforeAutospacing="0" w:after="0" w:afterAutospacing="0" w:line="400" w:lineRule="exact"/>
        <w:ind w:firstLine="240" w:firstLineChars="10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接地装置的一般要求是什么？</w:t>
      </w:r>
    </w:p>
    <w:p>
      <w:pPr>
        <w:pStyle w:val="5"/>
        <w:spacing w:before="0" w:beforeAutospacing="0" w:after="0" w:afterAutospacing="0" w:line="400" w:lineRule="exact"/>
        <w:ind w:firstLine="240" w:firstLineChars="100"/>
        <w:jc w:val="both"/>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1）将雷电流（高频特性）分散入地时，为使任何潜在的过电压降到最小，接地装置的形状和尺寸很重要。一般来说，建议采用较小的接地电阻（如果可能，低频测量时小于10Ω）。</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2）从防雷观点来看，接地装置最好为单一、整体结构，可适用于任意场合（例如：防雷保护、电力系统和通信系统）。</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第5.4.1条</w:t>
      </w:r>
    </w:p>
    <w:p>
      <w:pPr>
        <w:pStyle w:val="5"/>
        <w:spacing w:before="0" w:beforeAutospacing="0" w:after="0" w:afterAutospacing="0" w:line="400" w:lineRule="exact"/>
        <w:ind w:firstLine="240" w:firstLineChars="100"/>
        <w:rPr>
          <w:rFonts w:ascii="Times New Roman" w:hAnsi="Times New Roman" w:cs="Times New Roman"/>
          <w:color w:val="000000"/>
        </w:rPr>
      </w:pPr>
    </w:p>
    <w:p>
      <w:pPr>
        <w:numPr>
          <w:ilvl w:val="0"/>
          <w:numId w:val="9"/>
        </w:numPr>
        <w:spacing w:line="400" w:lineRule="exact"/>
        <w:rPr>
          <w:rFonts w:ascii="仿宋_GB2312"/>
          <w:b/>
          <w:bCs/>
          <w:sz w:val="28"/>
          <w:szCs w:val="28"/>
        </w:rPr>
      </w:pPr>
      <w:r>
        <w:rPr>
          <w:rFonts w:hint="eastAsia" w:ascii="Times New Roman" w:hAnsi="Times New Roman" w:eastAsia="宋体" w:cs="Times New Roman"/>
          <w:b/>
          <w:color w:val="000000" w:themeColor="text1"/>
          <w:sz w:val="24"/>
          <w:szCs w:val="24"/>
          <w14:textFill>
            <w14:solidFill>
              <w14:schemeClr w14:val="tx1"/>
            </w14:solidFill>
          </w14:textFill>
        </w:rPr>
        <w:t>常用的两种基本类型的接地装置分别有什么要求？</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A型接地装置：包括安装在受保护建筑物外，且与引下线相连的水平接地极与垂直接地极。A型接地装置的接地极总数不应小于2。在引下线的底部，每个接地极的最小长度为：水平接地极为l</w:t>
      </w:r>
      <w:r>
        <w:rPr>
          <w:rFonts w:hint="eastAsia" w:ascii="Times New Roman" w:hAnsi="Times New Roman"/>
          <w:color w:val="000000"/>
          <w:vertAlign w:val="subscript"/>
        </w:rPr>
        <w:t>1</w:t>
      </w:r>
      <w:r>
        <w:rPr>
          <w:rFonts w:hint="eastAsia" w:ascii="Times New Roman" w:hAnsi="Times New Roman"/>
          <w:color w:val="000000"/>
        </w:rPr>
        <w:t>；垂直接地极（或倾斜）为0.5 l</w:t>
      </w:r>
      <w:r>
        <w:rPr>
          <w:rFonts w:hint="eastAsia" w:ascii="Times New Roman" w:hAnsi="Times New Roman"/>
          <w:color w:val="000000"/>
          <w:vertAlign w:val="subscript"/>
        </w:rPr>
        <w:t>1</w:t>
      </w:r>
      <w:r>
        <w:rPr>
          <w:rFonts w:hint="eastAsia" w:ascii="Times New Roman" w:hAnsi="Times New Roman"/>
          <w:color w:val="000000"/>
        </w:rPr>
        <w:t>（其中，l</w:t>
      </w:r>
      <w:r>
        <w:rPr>
          <w:rFonts w:hint="eastAsia" w:ascii="Times New Roman" w:hAnsi="Times New Roman"/>
          <w:color w:val="000000"/>
          <w:vertAlign w:val="subscript"/>
        </w:rPr>
        <w:t>1</w:t>
      </w:r>
      <w:r>
        <w:rPr>
          <w:rFonts w:hint="eastAsia" w:ascii="Times New Roman" w:hAnsi="Times New Roman"/>
          <w:color w:val="000000"/>
        </w:rPr>
        <w:t>为水平接地极的最小长度）。对组合（垂直或水平）接地极应考虑总长度。</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B型接地装置：可以是位于建筑物外面且总长度至少80％与土壤接触的环形导体或基础接地体。接地体可以是网状。对环形接地体（或基础接地体），所在区域的半径r</w:t>
      </w:r>
      <w:r>
        <w:rPr>
          <w:rFonts w:hint="eastAsia" w:ascii="Times New Roman" w:hAnsi="Times New Roman"/>
          <w:color w:val="000000"/>
          <w:vertAlign w:val="subscript"/>
        </w:rPr>
        <w:t>e</w:t>
      </w:r>
      <w:r>
        <w:rPr>
          <w:rFonts w:hint="eastAsia" w:ascii="Times New Roman" w:hAnsi="Times New Roman"/>
          <w:color w:val="000000"/>
        </w:rPr>
        <w:t>不应小于l</w:t>
      </w:r>
      <w:r>
        <w:rPr>
          <w:rFonts w:hint="eastAsia" w:ascii="Times New Roman" w:hAnsi="Times New Roman"/>
          <w:color w:val="000000"/>
          <w:vertAlign w:val="subscript"/>
        </w:rPr>
        <w:t>1</w:t>
      </w:r>
      <w:r>
        <w:rPr>
          <w:rFonts w:hint="eastAsia" w:ascii="Times New Roman" w:hAnsi="Times New Roman"/>
          <w:color w:val="000000"/>
        </w:rPr>
        <w:t>：附加接地体的数量不应小于引下线的数量，最少为2个。附加接地体应在引下线的连接点处与环形接地体相连，并尽可能进行多点等距离连接。</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第5.4.2条</w:t>
      </w:r>
    </w:p>
    <w:p>
      <w:pPr>
        <w:pStyle w:val="5"/>
        <w:spacing w:before="0" w:beforeAutospacing="0" w:after="0" w:afterAutospacing="0" w:line="400" w:lineRule="exact"/>
        <w:ind w:firstLine="240" w:firstLineChars="10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接地极的施工有什么要求？</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jc w:val="both"/>
        <w:rPr>
          <w:rFonts w:ascii="Times New Roman" w:hAnsi="Times New Roman"/>
          <w:color w:val="000000"/>
        </w:rPr>
      </w:pPr>
      <w:r>
        <w:rPr>
          <w:rFonts w:hint="eastAsia" w:ascii="Times New Roman" w:hAnsi="Times New Roman"/>
          <w:color w:val="000000"/>
        </w:rPr>
        <w:t>外部环形接地体（B型装置）的埋深至少为0.5m，与外墙周围相隔约1m。接地体（A型装置）顶部埋深至少为0.5m，并尽可能均匀分布，使土壤中的电气耦合效应最小。接地体的安装应便于在施工中进行检查。接地体的类型和埋深应尽可能使腐蚀影响、土壤干燥和冰冻的影响减到最小，从而使接地电阻值保持稳定。对裸露的坚硬岩石，建议仅使用B型接地装置。对安装有电子系统或存在高火险的建筑物，优先采用B型接地装置。</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第5.4.3条</w:t>
      </w:r>
    </w:p>
    <w:p>
      <w:pPr>
        <w:pStyle w:val="8"/>
        <w:spacing w:line="400" w:lineRule="exact"/>
        <w:ind w:left="400" w:firstLine="0" w:firstLineChars="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LPS材料及使用条件是什么？</w:t>
      </w:r>
    </w:p>
    <w:p>
      <w:pPr>
        <w:ind w:firstLine="210" w:firstLineChars="100"/>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答：</w:t>
      </w:r>
    </w:p>
    <w:p>
      <w:pPr>
        <w:rPr>
          <w:rFonts w:asciiTheme="minorEastAsia" w:hAnsiTheme="minorEastAsia" w:eastAsiaTheme="minorEastAsia" w:cstheme="minorEastAsia"/>
          <w:color w:val="000000"/>
          <w:sz w:val="21"/>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080"/>
        <w:gridCol w:w="1080"/>
        <w:gridCol w:w="1080"/>
        <w:gridCol w:w="1803"/>
        <w:gridCol w:w="1437"/>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Merge w:val="restart"/>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材料</w:t>
            </w:r>
          </w:p>
        </w:tc>
        <w:tc>
          <w:tcPr>
            <w:tcW w:w="3240" w:type="dxa"/>
            <w:gridSpan w:val="3"/>
            <w:vAlign w:val="center"/>
          </w:tcPr>
          <w:p>
            <w:pPr>
              <w:snapToGrid w:val="0"/>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使   用</w:t>
            </w:r>
          </w:p>
        </w:tc>
        <w:tc>
          <w:tcPr>
            <w:tcW w:w="4630" w:type="dxa"/>
            <w:gridSpan w:val="3"/>
            <w:vAlign w:val="center"/>
          </w:tcPr>
          <w:p>
            <w:pPr>
              <w:snapToGrid w:val="0"/>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Merge w:val="continue"/>
            <w:vAlign w:val="center"/>
          </w:tcPr>
          <w:p>
            <w:pPr>
              <w:snapToGrid w:val="0"/>
              <w:rPr>
                <w:rFonts w:asciiTheme="minorEastAsia" w:hAnsiTheme="minorEastAsia" w:eastAsiaTheme="minorEastAsia" w:cstheme="minorEastAsia"/>
                <w:color w:val="000000"/>
                <w:sz w:val="21"/>
                <w:szCs w:val="21"/>
              </w:rPr>
            </w:pP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空气</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地下</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混凝土</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阻抗</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增大的原因</w:t>
            </w: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可能会因与下列材料电流耦合而毁坏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作为涂层</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作为涂层</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在很多环境中，适用</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硫化物</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有机物</w:t>
            </w: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热镀锌钢</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在大气中，混凝土中，良性土壤中为合格</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高浓度氯化物</w:t>
            </w:r>
          </w:p>
          <w:p>
            <w:pPr>
              <w:snapToGrid w:val="0"/>
              <w:rPr>
                <w:rFonts w:asciiTheme="minorEastAsia" w:hAnsiTheme="minorEastAsia" w:eastAsiaTheme="minorEastAsia" w:cstheme="minorEastAsia"/>
                <w:color w:val="000000"/>
                <w:sz w:val="21"/>
                <w:szCs w:val="21"/>
              </w:rPr>
            </w:pP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不锈钢</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钢条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在很多环境中，适用</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高浓度氯化物</w:t>
            </w: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铝</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铝条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绞线</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不适用</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不适用</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在低浓度硫化物和氯化物中，适用</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碱性土壤</w:t>
            </w: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铅</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铅条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作为涂层</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铅条</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作为涂层</w:t>
            </w:r>
          </w:p>
        </w:tc>
        <w:tc>
          <w:tcPr>
            <w:tcW w:w="108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不适用</w:t>
            </w:r>
          </w:p>
        </w:tc>
        <w:tc>
          <w:tcPr>
            <w:tcW w:w="1803"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在高浓度硫酸盐环境中，适用</w:t>
            </w:r>
          </w:p>
        </w:tc>
        <w:tc>
          <w:tcPr>
            <w:tcW w:w="1437"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酸性土壤</w:t>
            </w:r>
          </w:p>
        </w:tc>
        <w:tc>
          <w:tcPr>
            <w:tcW w:w="1390" w:type="dxa"/>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铜</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8515" w:type="dxa"/>
            <w:gridSpan w:val="7"/>
            <w:vAlign w:val="center"/>
          </w:tcPr>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注1：该表仅作一般性参考。在特殊情况下应考虑抗腐蚀要求（见附录E）。</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注2：绞线比条状导线更容易由于腐蚀而损坏。而且绞线在出入土壤的地方容易被损坏，这也是建议土壤中不使用镀锌钢绞线的原因；</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注3：在粘土层和潮湿的土壤中，镀锌钢可能被腐蚀；</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注4：由于混凝土外面的钢容易被腐蚀，混凝土中的镀锌钢不应进入土壤；</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注5：某些情况下，镀锌钢与钢筋接触，可能会引起混凝土损坏。</w:t>
            </w:r>
          </w:p>
          <w:p>
            <w:pPr>
              <w:snapToGrid w:val="0"/>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注6：出于环境考虑，土壤中禁止使用或限制使用铅材料。</w:t>
            </w:r>
          </w:p>
        </w:tc>
      </w:tr>
    </w:tbl>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第5.5.1条</w:t>
      </w:r>
    </w:p>
    <w:p>
      <w:pPr>
        <w:pStyle w:val="8"/>
        <w:spacing w:line="400" w:lineRule="exact"/>
        <w:ind w:left="400" w:firstLine="0" w:firstLineChars="0"/>
        <w:jc w:val="left"/>
        <w:rPr>
          <w:rFonts w:asciiTheme="minorEastAsia" w:hAnsiTheme="minorEastAsia" w:eastAsiaTheme="minorEastAsia" w:cstheme="minorEastAsia"/>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接闪器导体、杆状接闪器、引下线的材料，形状及最小截面积分别是什么？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5"/>
        <w:gridCol w:w="1463"/>
        <w:gridCol w:w="1405"/>
        <w:gridCol w:w="3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228" w:type="dxa"/>
            <w:vAlign w:val="center"/>
          </w:tcPr>
          <w:p>
            <w:pPr>
              <w:snapToGrid w:val="0"/>
              <w:jc w:val="center"/>
              <w:rPr>
                <w:color w:val="000000"/>
                <w:sz w:val="18"/>
                <w:szCs w:val="18"/>
              </w:rPr>
            </w:pPr>
            <w:r>
              <w:rPr>
                <w:rFonts w:hint="eastAsia"/>
                <w:color w:val="000000"/>
                <w:sz w:val="18"/>
                <w:szCs w:val="18"/>
              </w:rPr>
              <w:t>材料</w:t>
            </w:r>
          </w:p>
        </w:tc>
        <w:tc>
          <w:tcPr>
            <w:tcW w:w="0" w:type="auto"/>
            <w:vAlign w:val="center"/>
          </w:tcPr>
          <w:p>
            <w:pPr>
              <w:snapToGrid w:val="0"/>
              <w:jc w:val="center"/>
              <w:rPr>
                <w:color w:val="000000"/>
                <w:sz w:val="18"/>
                <w:szCs w:val="18"/>
              </w:rPr>
            </w:pPr>
            <w:r>
              <w:rPr>
                <w:rFonts w:hint="eastAsia"/>
                <w:color w:val="000000"/>
                <w:sz w:val="18"/>
                <w:szCs w:val="18"/>
              </w:rPr>
              <w:t>形状</w:t>
            </w:r>
          </w:p>
        </w:tc>
        <w:tc>
          <w:tcPr>
            <w:tcW w:w="0" w:type="auto"/>
            <w:vAlign w:val="center"/>
          </w:tcPr>
          <w:p>
            <w:pPr>
              <w:snapToGrid w:val="0"/>
              <w:jc w:val="center"/>
              <w:rPr>
                <w:color w:val="000000"/>
                <w:sz w:val="18"/>
                <w:szCs w:val="18"/>
                <w:vertAlign w:val="superscript"/>
              </w:rPr>
            </w:pPr>
            <w:r>
              <w:rPr>
                <w:rFonts w:hint="eastAsia"/>
                <w:color w:val="000000"/>
                <w:sz w:val="18"/>
                <w:szCs w:val="18"/>
              </w:rPr>
              <w:t>最小截面积</w:t>
            </w:r>
            <w:r>
              <w:rPr>
                <w:rFonts w:hint="eastAsia"/>
                <w:color w:val="000000"/>
                <w:sz w:val="18"/>
                <w:szCs w:val="18"/>
                <w:vertAlign w:val="superscript"/>
              </w:rPr>
              <w:t>8)</w:t>
            </w:r>
          </w:p>
          <w:p>
            <w:pPr>
              <w:snapToGrid w:val="0"/>
              <w:jc w:val="center"/>
              <w:rPr>
                <w:color w:val="000000"/>
                <w:sz w:val="18"/>
                <w:szCs w:val="18"/>
              </w:rPr>
            </w:pPr>
            <w:r>
              <w:rPr>
                <w:rFonts w:hint="eastAsia"/>
                <w:color w:val="000000"/>
                <w:sz w:val="18"/>
                <w:szCs w:val="18"/>
              </w:rPr>
              <w:t>（mm</w:t>
            </w:r>
            <w:r>
              <w:rPr>
                <w:rFonts w:hint="eastAsia"/>
                <w:color w:val="000000"/>
                <w:sz w:val="18"/>
                <w:szCs w:val="18"/>
                <w:vertAlign w:val="superscript"/>
              </w:rPr>
              <w:t>2</w:t>
            </w:r>
            <w:r>
              <w:rPr>
                <w:rFonts w:hint="eastAsia"/>
                <w:color w:val="000000"/>
                <w:sz w:val="18"/>
                <w:szCs w:val="18"/>
              </w:rPr>
              <w:t>）</w:t>
            </w:r>
          </w:p>
        </w:tc>
        <w:tc>
          <w:tcPr>
            <w:tcW w:w="3031" w:type="dxa"/>
            <w:vAlign w:val="center"/>
          </w:tcPr>
          <w:p>
            <w:pPr>
              <w:snapToGrid w:val="0"/>
              <w:jc w:val="center"/>
              <w:rPr>
                <w:color w:val="000000"/>
                <w:sz w:val="18"/>
                <w:szCs w:val="18"/>
              </w:rPr>
            </w:pPr>
            <w:r>
              <w:rPr>
                <w:rFonts w:hint="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228" w:type="dxa"/>
            <w:vAlign w:val="center"/>
          </w:tcPr>
          <w:p>
            <w:pPr>
              <w:snapToGrid w:val="0"/>
              <w:rPr>
                <w:color w:val="000000"/>
                <w:sz w:val="18"/>
                <w:szCs w:val="18"/>
              </w:rPr>
            </w:pPr>
            <w:r>
              <w:rPr>
                <w:color w:val="000000"/>
                <w:sz w:val="18"/>
                <w:szCs w:val="18"/>
              </w:rPr>
              <w:t>铜</w:t>
            </w:r>
          </w:p>
        </w:tc>
        <w:tc>
          <w:tcPr>
            <w:tcW w:w="0" w:type="auto"/>
            <w:vAlign w:val="center"/>
          </w:tcPr>
          <w:p>
            <w:pPr>
              <w:snapToGrid w:val="0"/>
              <w:rPr>
                <w:color w:val="000000"/>
                <w:sz w:val="15"/>
                <w:szCs w:val="15"/>
              </w:rPr>
            </w:pPr>
            <w:r>
              <w:rPr>
                <w:color w:val="000000"/>
                <w:sz w:val="15"/>
                <w:szCs w:val="15"/>
              </w:rPr>
              <w:t>实心带状</w:t>
            </w:r>
          </w:p>
          <w:p>
            <w:pPr>
              <w:snapToGrid w:val="0"/>
              <w:rPr>
                <w:color w:val="000000"/>
                <w:sz w:val="15"/>
                <w:szCs w:val="15"/>
              </w:rPr>
            </w:pPr>
            <w:r>
              <w:rPr>
                <w:color w:val="000000"/>
                <w:sz w:val="15"/>
                <w:szCs w:val="15"/>
              </w:rPr>
              <w:t>实心圆</w:t>
            </w:r>
            <w:r>
              <w:rPr>
                <w:rFonts w:hint="eastAsia"/>
                <w:color w:val="000000"/>
                <w:sz w:val="15"/>
                <w:szCs w:val="15"/>
              </w:rPr>
              <w:t>状</w:t>
            </w:r>
            <w:r>
              <w:rPr>
                <w:color w:val="000000"/>
                <w:sz w:val="15"/>
                <w:szCs w:val="15"/>
                <w:vertAlign w:val="superscript"/>
              </w:rPr>
              <w:t>7</w:t>
            </w:r>
            <w:r>
              <w:rPr>
                <w:rFonts w:hint="eastAsia"/>
                <w:color w:val="000000"/>
                <w:sz w:val="15"/>
                <w:szCs w:val="15"/>
                <w:vertAlign w:val="superscript"/>
              </w:rPr>
              <w:t>)</w:t>
            </w:r>
            <w:r>
              <w:rPr>
                <w:color w:val="000000"/>
                <w:sz w:val="15"/>
                <w:szCs w:val="15"/>
              </w:rPr>
              <w:t xml:space="preserve"> </w:t>
            </w:r>
          </w:p>
          <w:p>
            <w:pPr>
              <w:snapToGrid w:val="0"/>
              <w:rPr>
                <w:color w:val="000000"/>
                <w:sz w:val="15"/>
                <w:szCs w:val="15"/>
              </w:rPr>
            </w:pPr>
            <w:r>
              <w:rPr>
                <w:color w:val="000000"/>
                <w:sz w:val="15"/>
                <w:szCs w:val="15"/>
              </w:rPr>
              <w:t>绞线</w:t>
            </w:r>
          </w:p>
          <w:p>
            <w:pPr>
              <w:snapToGrid w:val="0"/>
              <w:rPr>
                <w:color w:val="000000"/>
                <w:sz w:val="15"/>
                <w:szCs w:val="15"/>
              </w:rPr>
            </w:pPr>
            <w:r>
              <w:rPr>
                <w:color w:val="000000"/>
                <w:sz w:val="15"/>
                <w:szCs w:val="15"/>
              </w:rPr>
              <w:t>实心圆</w:t>
            </w:r>
            <w:r>
              <w:rPr>
                <w:rFonts w:hint="eastAsia"/>
                <w:color w:val="000000"/>
                <w:sz w:val="15"/>
                <w:szCs w:val="15"/>
              </w:rPr>
              <w:t>状</w:t>
            </w:r>
            <w:r>
              <w:rPr>
                <w:color w:val="000000"/>
                <w:sz w:val="15"/>
                <w:szCs w:val="15"/>
              </w:rPr>
              <w:t xml:space="preserve"> </w:t>
            </w:r>
            <w:r>
              <w:rPr>
                <w:color w:val="000000"/>
                <w:sz w:val="15"/>
                <w:szCs w:val="15"/>
                <w:vertAlign w:val="superscript"/>
              </w:rPr>
              <w:t>3),</w:t>
            </w:r>
            <w:r>
              <w:rPr>
                <w:color w:val="000000"/>
                <w:sz w:val="15"/>
                <w:szCs w:val="15"/>
              </w:rPr>
              <w:t xml:space="preserve"> </w:t>
            </w:r>
            <w:r>
              <w:rPr>
                <w:color w:val="000000"/>
                <w:sz w:val="15"/>
                <w:szCs w:val="15"/>
                <w:vertAlign w:val="superscript"/>
              </w:rPr>
              <w:t>4)</w:t>
            </w:r>
          </w:p>
        </w:tc>
        <w:tc>
          <w:tcPr>
            <w:tcW w:w="0" w:type="auto"/>
            <w:vAlign w:val="center"/>
          </w:tcPr>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200</w:t>
            </w:r>
          </w:p>
        </w:tc>
        <w:tc>
          <w:tcPr>
            <w:tcW w:w="3031" w:type="dxa"/>
            <w:vAlign w:val="center"/>
          </w:tcPr>
          <w:p>
            <w:pPr>
              <w:snapToGrid w:val="0"/>
              <w:rPr>
                <w:color w:val="000000"/>
                <w:sz w:val="18"/>
                <w:szCs w:val="18"/>
              </w:rPr>
            </w:pPr>
            <w:r>
              <w:rPr>
                <w:color w:val="000000"/>
                <w:sz w:val="18"/>
                <w:szCs w:val="18"/>
              </w:rPr>
              <w:t>最小厚度2mm；</w:t>
            </w:r>
          </w:p>
          <w:p>
            <w:pPr>
              <w:snapToGrid w:val="0"/>
              <w:rPr>
                <w:color w:val="000000"/>
                <w:sz w:val="18"/>
                <w:szCs w:val="18"/>
              </w:rPr>
            </w:pPr>
            <w:r>
              <w:rPr>
                <w:color w:val="000000"/>
                <w:sz w:val="18"/>
                <w:szCs w:val="18"/>
              </w:rPr>
              <w:t>直径8mm；</w:t>
            </w:r>
          </w:p>
          <w:p>
            <w:pPr>
              <w:snapToGrid w:val="0"/>
              <w:rPr>
                <w:color w:val="000000"/>
                <w:sz w:val="18"/>
                <w:szCs w:val="18"/>
              </w:rPr>
            </w:pPr>
            <w:r>
              <w:rPr>
                <w:color w:val="000000"/>
                <w:sz w:val="18"/>
                <w:szCs w:val="18"/>
              </w:rPr>
              <w:t>绞线</w:t>
            </w:r>
            <w:r>
              <w:rPr>
                <w:rFonts w:hint="eastAsia"/>
                <w:color w:val="000000"/>
                <w:sz w:val="18"/>
                <w:szCs w:val="18"/>
              </w:rPr>
              <w:t>每股</w:t>
            </w:r>
            <w:r>
              <w:rPr>
                <w:color w:val="000000"/>
                <w:sz w:val="18"/>
                <w:szCs w:val="18"/>
              </w:rPr>
              <w:t>的最小直径为1.7mm</w:t>
            </w:r>
          </w:p>
          <w:p>
            <w:pPr>
              <w:snapToGrid w:val="0"/>
              <w:rPr>
                <w:color w:val="000000"/>
                <w:sz w:val="18"/>
                <w:szCs w:val="18"/>
              </w:rPr>
            </w:pPr>
            <w:r>
              <w:rPr>
                <w:color w:val="000000"/>
                <w:sz w:val="18"/>
                <w:szCs w:val="18"/>
              </w:rPr>
              <w:t>直径为16mm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228" w:type="dxa"/>
            <w:vAlign w:val="center"/>
          </w:tcPr>
          <w:p>
            <w:pPr>
              <w:snapToGrid w:val="0"/>
              <w:rPr>
                <w:color w:val="000000"/>
                <w:sz w:val="18"/>
                <w:szCs w:val="18"/>
              </w:rPr>
            </w:pPr>
            <w:r>
              <w:rPr>
                <w:color w:val="000000"/>
                <w:sz w:val="18"/>
                <w:szCs w:val="18"/>
              </w:rPr>
              <w:t>镀锡铜</w:t>
            </w:r>
          </w:p>
        </w:tc>
        <w:tc>
          <w:tcPr>
            <w:tcW w:w="0" w:type="auto"/>
            <w:vAlign w:val="center"/>
          </w:tcPr>
          <w:p>
            <w:pPr>
              <w:snapToGrid w:val="0"/>
              <w:rPr>
                <w:color w:val="000000"/>
                <w:sz w:val="15"/>
                <w:szCs w:val="15"/>
              </w:rPr>
            </w:pPr>
            <w:r>
              <w:rPr>
                <w:color w:val="000000"/>
                <w:sz w:val="15"/>
                <w:szCs w:val="15"/>
              </w:rPr>
              <w:t>实心带状</w:t>
            </w:r>
          </w:p>
          <w:p>
            <w:pPr>
              <w:snapToGrid w:val="0"/>
              <w:rPr>
                <w:color w:val="000000"/>
                <w:sz w:val="15"/>
                <w:szCs w:val="15"/>
              </w:rPr>
            </w:pPr>
            <w:r>
              <w:rPr>
                <w:color w:val="000000"/>
                <w:sz w:val="15"/>
                <w:szCs w:val="15"/>
              </w:rPr>
              <w:t>实心圆</w:t>
            </w:r>
            <w:r>
              <w:rPr>
                <w:rFonts w:hint="eastAsia"/>
                <w:color w:val="000000"/>
                <w:sz w:val="15"/>
                <w:szCs w:val="15"/>
              </w:rPr>
              <w:t>状</w:t>
            </w:r>
            <w:r>
              <w:rPr>
                <w:color w:val="000000"/>
                <w:sz w:val="15"/>
                <w:szCs w:val="15"/>
                <w:vertAlign w:val="superscript"/>
              </w:rPr>
              <w:t>7</w:t>
            </w:r>
            <w:r>
              <w:rPr>
                <w:rFonts w:hint="eastAsia"/>
                <w:color w:val="000000"/>
                <w:sz w:val="15"/>
                <w:szCs w:val="15"/>
                <w:vertAlign w:val="superscript"/>
              </w:rPr>
              <w:t>)</w:t>
            </w:r>
          </w:p>
          <w:p>
            <w:pPr>
              <w:snapToGrid w:val="0"/>
              <w:rPr>
                <w:color w:val="000000"/>
                <w:sz w:val="18"/>
                <w:szCs w:val="18"/>
              </w:rPr>
            </w:pPr>
            <w:r>
              <w:rPr>
                <w:color w:val="000000"/>
                <w:sz w:val="15"/>
                <w:szCs w:val="15"/>
              </w:rPr>
              <w:t>绞线</w:t>
            </w:r>
          </w:p>
        </w:tc>
        <w:tc>
          <w:tcPr>
            <w:tcW w:w="0" w:type="auto"/>
            <w:vAlign w:val="center"/>
          </w:tcPr>
          <w:p>
            <w:pPr>
              <w:snapToGrid w:val="0"/>
              <w:jc w:val="center"/>
              <w:rPr>
                <w:color w:val="000000"/>
                <w:sz w:val="18"/>
                <w:szCs w:val="18"/>
              </w:rPr>
            </w:pPr>
            <w:r>
              <w:rPr>
                <w:rFonts w:hint="eastAsia"/>
                <w:color w:val="000000"/>
                <w:sz w:val="18"/>
                <w:szCs w:val="18"/>
              </w:rPr>
              <w:t>5</w:t>
            </w:r>
            <w:r>
              <w:rPr>
                <w:color w:val="000000"/>
                <w:sz w:val="18"/>
                <w:szCs w:val="18"/>
              </w:rPr>
              <w:t>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tc>
        <w:tc>
          <w:tcPr>
            <w:tcW w:w="3031" w:type="dxa"/>
            <w:vAlign w:val="center"/>
          </w:tcPr>
          <w:p>
            <w:pPr>
              <w:snapToGrid w:val="0"/>
              <w:rPr>
                <w:color w:val="000000"/>
                <w:sz w:val="18"/>
                <w:szCs w:val="18"/>
              </w:rPr>
            </w:pPr>
            <w:r>
              <w:rPr>
                <w:color w:val="000000"/>
                <w:sz w:val="18"/>
                <w:szCs w:val="18"/>
              </w:rPr>
              <w:t>最小厚度2mm；</w:t>
            </w:r>
          </w:p>
          <w:p>
            <w:pPr>
              <w:snapToGrid w:val="0"/>
              <w:rPr>
                <w:color w:val="000000"/>
                <w:sz w:val="18"/>
                <w:szCs w:val="18"/>
              </w:rPr>
            </w:pPr>
            <w:r>
              <w:rPr>
                <w:color w:val="000000"/>
                <w:sz w:val="18"/>
                <w:szCs w:val="18"/>
              </w:rPr>
              <w:t>直径8mm；</w:t>
            </w:r>
          </w:p>
          <w:p>
            <w:pPr>
              <w:snapToGrid w:val="0"/>
              <w:rPr>
                <w:color w:val="000000"/>
                <w:sz w:val="18"/>
                <w:szCs w:val="18"/>
                <w:u w:val="single"/>
              </w:rPr>
            </w:pPr>
            <w:r>
              <w:rPr>
                <w:color w:val="000000"/>
                <w:sz w:val="18"/>
                <w:szCs w:val="18"/>
              </w:rPr>
              <w:t>绞线</w:t>
            </w:r>
            <w:r>
              <w:rPr>
                <w:rFonts w:hint="eastAsia"/>
                <w:color w:val="000000"/>
                <w:sz w:val="18"/>
                <w:szCs w:val="18"/>
              </w:rPr>
              <w:t>每股</w:t>
            </w:r>
            <w:r>
              <w:rPr>
                <w:color w:val="000000"/>
                <w:sz w:val="18"/>
                <w:szCs w:val="18"/>
              </w:rPr>
              <w:t>的最小直径为1.7mm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228" w:type="dxa"/>
            <w:vAlign w:val="center"/>
          </w:tcPr>
          <w:p>
            <w:pPr>
              <w:snapToGrid w:val="0"/>
              <w:rPr>
                <w:color w:val="000000"/>
                <w:sz w:val="18"/>
                <w:szCs w:val="18"/>
              </w:rPr>
            </w:pPr>
            <w:r>
              <w:rPr>
                <w:color w:val="000000"/>
                <w:sz w:val="18"/>
                <w:szCs w:val="18"/>
              </w:rPr>
              <w:t>铝</w:t>
            </w:r>
          </w:p>
        </w:tc>
        <w:tc>
          <w:tcPr>
            <w:tcW w:w="0" w:type="auto"/>
            <w:vAlign w:val="center"/>
          </w:tcPr>
          <w:p>
            <w:pPr>
              <w:snapToGrid w:val="0"/>
              <w:rPr>
                <w:color w:val="000000"/>
                <w:sz w:val="18"/>
                <w:szCs w:val="18"/>
              </w:rPr>
            </w:pPr>
            <w:r>
              <w:rPr>
                <w:color w:val="000000"/>
                <w:sz w:val="18"/>
                <w:szCs w:val="18"/>
              </w:rPr>
              <w:t>实心带状</w:t>
            </w:r>
          </w:p>
          <w:p>
            <w:pPr>
              <w:snapToGrid w:val="0"/>
              <w:rPr>
                <w:color w:val="000000"/>
                <w:sz w:val="18"/>
                <w:szCs w:val="18"/>
              </w:rPr>
            </w:pPr>
            <w:r>
              <w:rPr>
                <w:color w:val="000000"/>
                <w:sz w:val="18"/>
                <w:szCs w:val="18"/>
              </w:rPr>
              <w:t>实心圆</w:t>
            </w:r>
            <w:r>
              <w:rPr>
                <w:rFonts w:hint="eastAsia"/>
                <w:color w:val="000000"/>
                <w:sz w:val="18"/>
                <w:szCs w:val="18"/>
              </w:rPr>
              <w:t>状</w:t>
            </w:r>
          </w:p>
          <w:p>
            <w:pPr>
              <w:snapToGrid w:val="0"/>
              <w:rPr>
                <w:color w:val="000000"/>
                <w:sz w:val="18"/>
                <w:szCs w:val="18"/>
              </w:rPr>
            </w:pPr>
            <w:r>
              <w:rPr>
                <w:color w:val="000000"/>
                <w:sz w:val="18"/>
                <w:szCs w:val="18"/>
              </w:rPr>
              <w:t>绞线</w:t>
            </w:r>
          </w:p>
        </w:tc>
        <w:tc>
          <w:tcPr>
            <w:tcW w:w="0" w:type="auto"/>
            <w:vAlign w:val="center"/>
          </w:tcPr>
          <w:p>
            <w:pPr>
              <w:snapToGrid w:val="0"/>
              <w:jc w:val="center"/>
              <w:rPr>
                <w:color w:val="000000"/>
                <w:sz w:val="18"/>
                <w:szCs w:val="18"/>
              </w:rPr>
            </w:pPr>
            <w:r>
              <w:rPr>
                <w:rFonts w:hint="eastAsia"/>
                <w:color w:val="000000"/>
                <w:sz w:val="18"/>
                <w:szCs w:val="18"/>
              </w:rPr>
              <w:t>7</w:t>
            </w:r>
            <w:r>
              <w:rPr>
                <w:color w:val="000000"/>
                <w:sz w:val="18"/>
                <w:szCs w:val="18"/>
              </w:rPr>
              <w:t>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tc>
        <w:tc>
          <w:tcPr>
            <w:tcW w:w="3031" w:type="dxa"/>
            <w:vAlign w:val="center"/>
          </w:tcPr>
          <w:p>
            <w:pPr>
              <w:snapToGrid w:val="0"/>
              <w:rPr>
                <w:color w:val="000000"/>
                <w:sz w:val="18"/>
                <w:szCs w:val="18"/>
              </w:rPr>
            </w:pPr>
            <w:r>
              <w:rPr>
                <w:color w:val="000000"/>
                <w:sz w:val="18"/>
                <w:szCs w:val="18"/>
              </w:rPr>
              <w:t>最小厚度3mm；</w:t>
            </w:r>
          </w:p>
          <w:p>
            <w:pPr>
              <w:snapToGrid w:val="0"/>
              <w:rPr>
                <w:color w:val="000000"/>
                <w:sz w:val="18"/>
                <w:szCs w:val="18"/>
              </w:rPr>
            </w:pPr>
            <w:r>
              <w:rPr>
                <w:color w:val="000000"/>
                <w:sz w:val="18"/>
                <w:szCs w:val="18"/>
              </w:rPr>
              <w:t>直径8mm；</w:t>
            </w:r>
          </w:p>
          <w:p>
            <w:pPr>
              <w:snapToGrid w:val="0"/>
              <w:rPr>
                <w:color w:val="000000"/>
                <w:sz w:val="18"/>
                <w:szCs w:val="18"/>
              </w:rPr>
            </w:pPr>
            <w:r>
              <w:rPr>
                <w:color w:val="000000"/>
                <w:sz w:val="18"/>
                <w:szCs w:val="18"/>
              </w:rPr>
              <w:t>绞线</w:t>
            </w:r>
            <w:r>
              <w:rPr>
                <w:rFonts w:hint="eastAsia"/>
                <w:color w:val="000000"/>
                <w:sz w:val="18"/>
                <w:szCs w:val="18"/>
              </w:rPr>
              <w:t>每股</w:t>
            </w:r>
            <w:r>
              <w:rPr>
                <w:color w:val="000000"/>
                <w:sz w:val="18"/>
                <w:szCs w:val="18"/>
              </w:rPr>
              <w:t>的最小直径为1.7mm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228" w:type="dxa"/>
            <w:vAlign w:val="center"/>
          </w:tcPr>
          <w:p>
            <w:pPr>
              <w:snapToGrid w:val="0"/>
              <w:rPr>
                <w:color w:val="000000"/>
                <w:sz w:val="18"/>
                <w:szCs w:val="18"/>
              </w:rPr>
            </w:pPr>
            <w:r>
              <w:rPr>
                <w:color w:val="000000"/>
                <w:sz w:val="18"/>
                <w:szCs w:val="18"/>
              </w:rPr>
              <w:t>铝合金</w:t>
            </w:r>
          </w:p>
        </w:tc>
        <w:tc>
          <w:tcPr>
            <w:tcW w:w="0" w:type="auto"/>
            <w:vAlign w:val="center"/>
          </w:tcPr>
          <w:p>
            <w:pPr>
              <w:snapToGrid w:val="0"/>
              <w:rPr>
                <w:color w:val="000000"/>
                <w:sz w:val="15"/>
                <w:szCs w:val="15"/>
              </w:rPr>
            </w:pPr>
            <w:r>
              <w:rPr>
                <w:color w:val="000000"/>
                <w:sz w:val="15"/>
                <w:szCs w:val="15"/>
              </w:rPr>
              <w:t>实心带状</w:t>
            </w:r>
          </w:p>
          <w:p>
            <w:pPr>
              <w:snapToGrid w:val="0"/>
              <w:rPr>
                <w:color w:val="000000"/>
                <w:sz w:val="15"/>
                <w:szCs w:val="15"/>
              </w:rPr>
            </w:pPr>
            <w:r>
              <w:rPr>
                <w:color w:val="000000"/>
                <w:sz w:val="15"/>
                <w:szCs w:val="15"/>
              </w:rPr>
              <w:t>实心圆</w:t>
            </w:r>
            <w:r>
              <w:rPr>
                <w:rFonts w:hint="eastAsia"/>
                <w:color w:val="000000"/>
                <w:sz w:val="15"/>
                <w:szCs w:val="15"/>
              </w:rPr>
              <w:t>状</w:t>
            </w:r>
          </w:p>
          <w:p>
            <w:pPr>
              <w:snapToGrid w:val="0"/>
              <w:rPr>
                <w:color w:val="000000"/>
                <w:sz w:val="15"/>
                <w:szCs w:val="15"/>
              </w:rPr>
            </w:pPr>
            <w:r>
              <w:rPr>
                <w:color w:val="000000"/>
                <w:sz w:val="15"/>
                <w:szCs w:val="15"/>
              </w:rPr>
              <w:t>绞线</w:t>
            </w:r>
          </w:p>
          <w:p>
            <w:pPr>
              <w:snapToGrid w:val="0"/>
              <w:rPr>
                <w:color w:val="000000"/>
                <w:sz w:val="18"/>
                <w:szCs w:val="18"/>
              </w:rPr>
            </w:pPr>
            <w:r>
              <w:rPr>
                <w:color w:val="000000"/>
                <w:sz w:val="15"/>
                <w:szCs w:val="15"/>
              </w:rPr>
              <w:t>实心圆</w:t>
            </w:r>
            <w:r>
              <w:rPr>
                <w:rFonts w:hint="eastAsia"/>
                <w:color w:val="000000"/>
                <w:sz w:val="15"/>
                <w:szCs w:val="15"/>
              </w:rPr>
              <w:t>状</w:t>
            </w:r>
            <w:r>
              <w:rPr>
                <w:color w:val="000000"/>
                <w:sz w:val="15"/>
                <w:szCs w:val="15"/>
                <w:vertAlign w:val="superscript"/>
              </w:rPr>
              <w:t>3)</w:t>
            </w:r>
          </w:p>
        </w:tc>
        <w:tc>
          <w:tcPr>
            <w:tcW w:w="0" w:type="auto"/>
            <w:vAlign w:val="center"/>
          </w:tcPr>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200</w:t>
            </w:r>
          </w:p>
        </w:tc>
        <w:tc>
          <w:tcPr>
            <w:tcW w:w="3031" w:type="dxa"/>
            <w:vAlign w:val="center"/>
          </w:tcPr>
          <w:p>
            <w:pPr>
              <w:snapToGrid w:val="0"/>
              <w:rPr>
                <w:color w:val="000000"/>
                <w:sz w:val="18"/>
                <w:szCs w:val="18"/>
              </w:rPr>
            </w:pPr>
            <w:r>
              <w:rPr>
                <w:color w:val="000000"/>
                <w:sz w:val="18"/>
                <w:szCs w:val="18"/>
              </w:rPr>
              <w:t>最小厚度2.5mm；</w:t>
            </w:r>
          </w:p>
          <w:p>
            <w:pPr>
              <w:snapToGrid w:val="0"/>
              <w:rPr>
                <w:color w:val="000000"/>
                <w:sz w:val="18"/>
                <w:szCs w:val="18"/>
              </w:rPr>
            </w:pPr>
            <w:r>
              <w:rPr>
                <w:color w:val="000000"/>
                <w:sz w:val="18"/>
                <w:szCs w:val="18"/>
              </w:rPr>
              <w:t>直径8mm；</w:t>
            </w:r>
          </w:p>
          <w:p>
            <w:pPr>
              <w:snapToGrid w:val="0"/>
              <w:rPr>
                <w:color w:val="000000"/>
                <w:sz w:val="18"/>
                <w:szCs w:val="18"/>
              </w:rPr>
            </w:pPr>
            <w:r>
              <w:rPr>
                <w:color w:val="000000"/>
                <w:sz w:val="18"/>
                <w:szCs w:val="18"/>
              </w:rPr>
              <w:t>绞线</w:t>
            </w:r>
            <w:r>
              <w:rPr>
                <w:rFonts w:hint="eastAsia"/>
                <w:color w:val="000000"/>
                <w:sz w:val="18"/>
                <w:szCs w:val="18"/>
              </w:rPr>
              <w:t>每股</w:t>
            </w:r>
            <w:r>
              <w:rPr>
                <w:color w:val="000000"/>
                <w:sz w:val="18"/>
                <w:szCs w:val="18"/>
              </w:rPr>
              <w:t>的最小直径为1.7mm</w:t>
            </w:r>
          </w:p>
          <w:p>
            <w:pPr>
              <w:snapToGrid w:val="0"/>
              <w:rPr>
                <w:color w:val="000000"/>
                <w:sz w:val="18"/>
                <w:szCs w:val="18"/>
              </w:rPr>
            </w:pPr>
            <w:r>
              <w:rPr>
                <w:color w:val="000000"/>
                <w:sz w:val="18"/>
                <w:szCs w:val="18"/>
              </w:rPr>
              <w:t>直径为16mm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228" w:type="dxa"/>
            <w:vAlign w:val="center"/>
          </w:tcPr>
          <w:p>
            <w:pPr>
              <w:snapToGrid w:val="0"/>
              <w:rPr>
                <w:color w:val="000000"/>
                <w:sz w:val="18"/>
                <w:szCs w:val="18"/>
              </w:rPr>
            </w:pPr>
            <w:r>
              <w:rPr>
                <w:color w:val="000000"/>
                <w:sz w:val="18"/>
                <w:szCs w:val="18"/>
              </w:rPr>
              <w:t>热镀锌钢</w:t>
            </w:r>
            <w:r>
              <w:rPr>
                <w:rFonts w:hint="eastAsia"/>
                <w:color w:val="000000"/>
                <w:sz w:val="18"/>
                <w:szCs w:val="18"/>
                <w:vertAlign w:val="superscript"/>
              </w:rPr>
              <w:t>2</w:t>
            </w:r>
            <w:r>
              <w:rPr>
                <w:color w:val="000000"/>
                <w:sz w:val="18"/>
                <w:szCs w:val="18"/>
                <w:vertAlign w:val="superscript"/>
              </w:rPr>
              <w:t>)</w:t>
            </w:r>
          </w:p>
        </w:tc>
        <w:tc>
          <w:tcPr>
            <w:tcW w:w="0" w:type="auto"/>
            <w:vAlign w:val="center"/>
          </w:tcPr>
          <w:p>
            <w:pPr>
              <w:snapToGrid w:val="0"/>
              <w:rPr>
                <w:color w:val="000000"/>
                <w:sz w:val="15"/>
                <w:szCs w:val="15"/>
              </w:rPr>
            </w:pPr>
            <w:r>
              <w:rPr>
                <w:color w:val="000000"/>
                <w:sz w:val="15"/>
                <w:szCs w:val="15"/>
              </w:rPr>
              <w:t>实心带状</w:t>
            </w:r>
            <w:r>
              <w:rPr>
                <w:rFonts w:hint="eastAsia"/>
                <w:color w:val="000000"/>
                <w:sz w:val="15"/>
                <w:szCs w:val="15"/>
                <w:vertAlign w:val="superscript"/>
              </w:rPr>
              <w:t>6</w:t>
            </w:r>
            <w:r>
              <w:rPr>
                <w:color w:val="000000"/>
                <w:sz w:val="15"/>
                <w:szCs w:val="15"/>
                <w:vertAlign w:val="superscript"/>
              </w:rPr>
              <w:t>)</w:t>
            </w:r>
          </w:p>
          <w:p>
            <w:pPr>
              <w:snapToGrid w:val="0"/>
              <w:rPr>
                <w:color w:val="000000"/>
                <w:sz w:val="15"/>
                <w:szCs w:val="15"/>
              </w:rPr>
            </w:pPr>
            <w:r>
              <w:rPr>
                <w:color w:val="000000"/>
                <w:sz w:val="15"/>
                <w:szCs w:val="15"/>
              </w:rPr>
              <w:t>实心圆</w:t>
            </w:r>
            <w:r>
              <w:rPr>
                <w:rFonts w:hint="eastAsia"/>
                <w:color w:val="000000"/>
                <w:sz w:val="15"/>
                <w:szCs w:val="15"/>
              </w:rPr>
              <w:t>状</w:t>
            </w:r>
            <w:r>
              <w:rPr>
                <w:rFonts w:hint="eastAsia"/>
                <w:color w:val="000000"/>
                <w:sz w:val="15"/>
                <w:szCs w:val="15"/>
                <w:vertAlign w:val="superscript"/>
              </w:rPr>
              <w:t>9</w:t>
            </w:r>
            <w:r>
              <w:rPr>
                <w:color w:val="000000"/>
                <w:sz w:val="15"/>
                <w:szCs w:val="15"/>
                <w:vertAlign w:val="superscript"/>
              </w:rPr>
              <w:t>)</w:t>
            </w:r>
          </w:p>
          <w:p>
            <w:pPr>
              <w:snapToGrid w:val="0"/>
              <w:rPr>
                <w:color w:val="000000"/>
                <w:sz w:val="15"/>
                <w:szCs w:val="15"/>
              </w:rPr>
            </w:pPr>
            <w:r>
              <w:rPr>
                <w:color w:val="000000"/>
                <w:sz w:val="15"/>
                <w:szCs w:val="15"/>
              </w:rPr>
              <w:t>绞线</w:t>
            </w:r>
          </w:p>
          <w:p>
            <w:pPr>
              <w:snapToGrid w:val="0"/>
              <w:rPr>
                <w:color w:val="000000"/>
                <w:sz w:val="18"/>
                <w:szCs w:val="18"/>
              </w:rPr>
            </w:pPr>
            <w:r>
              <w:rPr>
                <w:color w:val="000000"/>
                <w:sz w:val="15"/>
                <w:szCs w:val="15"/>
              </w:rPr>
              <w:t>实心圆</w:t>
            </w:r>
            <w:r>
              <w:rPr>
                <w:rFonts w:hint="eastAsia"/>
                <w:color w:val="000000"/>
                <w:sz w:val="15"/>
                <w:szCs w:val="15"/>
              </w:rPr>
              <w:t>状</w:t>
            </w:r>
            <w:r>
              <w:rPr>
                <w:color w:val="000000"/>
                <w:sz w:val="15"/>
                <w:szCs w:val="15"/>
              </w:rPr>
              <w:t xml:space="preserve">  </w:t>
            </w:r>
            <w:r>
              <w:rPr>
                <w:color w:val="000000"/>
                <w:sz w:val="15"/>
                <w:szCs w:val="15"/>
                <w:vertAlign w:val="superscript"/>
              </w:rPr>
              <w:t>3),</w:t>
            </w:r>
            <w:r>
              <w:rPr>
                <w:color w:val="000000"/>
                <w:sz w:val="15"/>
                <w:szCs w:val="15"/>
              </w:rPr>
              <w:t xml:space="preserve"> </w:t>
            </w:r>
            <w:r>
              <w:rPr>
                <w:color w:val="000000"/>
                <w:sz w:val="15"/>
                <w:szCs w:val="15"/>
                <w:vertAlign w:val="superscript"/>
              </w:rPr>
              <w:t>4)</w:t>
            </w:r>
            <w:r>
              <w:rPr>
                <w:rFonts w:hint="eastAsia"/>
                <w:color w:val="000000"/>
                <w:sz w:val="15"/>
                <w:szCs w:val="15"/>
                <w:vertAlign w:val="superscript"/>
              </w:rPr>
              <w:t>, 9)</w:t>
            </w:r>
          </w:p>
        </w:tc>
        <w:tc>
          <w:tcPr>
            <w:tcW w:w="0" w:type="auto"/>
            <w:vAlign w:val="center"/>
          </w:tcPr>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200</w:t>
            </w:r>
          </w:p>
        </w:tc>
        <w:tc>
          <w:tcPr>
            <w:tcW w:w="3031" w:type="dxa"/>
            <w:vAlign w:val="center"/>
          </w:tcPr>
          <w:p>
            <w:pPr>
              <w:snapToGrid w:val="0"/>
              <w:rPr>
                <w:color w:val="000000"/>
                <w:sz w:val="18"/>
                <w:szCs w:val="18"/>
              </w:rPr>
            </w:pPr>
            <w:r>
              <w:rPr>
                <w:color w:val="000000"/>
                <w:sz w:val="18"/>
                <w:szCs w:val="18"/>
              </w:rPr>
              <w:t>最小厚度2.5mm；</w:t>
            </w:r>
          </w:p>
          <w:p>
            <w:pPr>
              <w:snapToGrid w:val="0"/>
              <w:rPr>
                <w:color w:val="000000"/>
                <w:sz w:val="18"/>
                <w:szCs w:val="18"/>
              </w:rPr>
            </w:pPr>
            <w:r>
              <w:rPr>
                <w:color w:val="000000"/>
                <w:sz w:val="18"/>
                <w:szCs w:val="18"/>
              </w:rPr>
              <w:t>直径8mm；</w:t>
            </w:r>
          </w:p>
          <w:p>
            <w:pPr>
              <w:snapToGrid w:val="0"/>
              <w:rPr>
                <w:color w:val="000000"/>
                <w:sz w:val="18"/>
                <w:szCs w:val="18"/>
              </w:rPr>
            </w:pPr>
            <w:r>
              <w:rPr>
                <w:color w:val="000000"/>
                <w:sz w:val="18"/>
                <w:szCs w:val="18"/>
              </w:rPr>
              <w:t>绞线</w:t>
            </w:r>
            <w:r>
              <w:rPr>
                <w:rFonts w:hint="eastAsia"/>
                <w:color w:val="000000"/>
                <w:sz w:val="18"/>
                <w:szCs w:val="18"/>
              </w:rPr>
              <w:t>每股</w:t>
            </w:r>
            <w:r>
              <w:rPr>
                <w:color w:val="000000"/>
                <w:sz w:val="18"/>
                <w:szCs w:val="18"/>
              </w:rPr>
              <w:t>的最小直径为1.7mm</w:t>
            </w:r>
          </w:p>
          <w:p>
            <w:pPr>
              <w:snapToGrid w:val="0"/>
              <w:rPr>
                <w:color w:val="000000"/>
                <w:sz w:val="18"/>
                <w:szCs w:val="18"/>
              </w:rPr>
            </w:pPr>
            <w:r>
              <w:rPr>
                <w:color w:val="000000"/>
                <w:sz w:val="18"/>
                <w:szCs w:val="18"/>
              </w:rPr>
              <w:t>直径为16mm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28" w:type="dxa"/>
            <w:vAlign w:val="center"/>
          </w:tcPr>
          <w:p>
            <w:pPr>
              <w:snapToGrid w:val="0"/>
              <w:rPr>
                <w:color w:val="000000"/>
                <w:sz w:val="18"/>
                <w:szCs w:val="18"/>
              </w:rPr>
            </w:pPr>
            <w:r>
              <w:rPr>
                <w:color w:val="000000"/>
                <w:sz w:val="18"/>
                <w:szCs w:val="18"/>
              </w:rPr>
              <w:t>不锈钢</w:t>
            </w:r>
            <w:r>
              <w:rPr>
                <w:rFonts w:hint="eastAsia"/>
                <w:color w:val="000000"/>
                <w:sz w:val="18"/>
                <w:szCs w:val="18"/>
                <w:vertAlign w:val="superscript"/>
              </w:rPr>
              <w:t>5</w:t>
            </w:r>
            <w:r>
              <w:rPr>
                <w:color w:val="000000"/>
                <w:sz w:val="18"/>
                <w:szCs w:val="18"/>
                <w:vertAlign w:val="superscript"/>
              </w:rPr>
              <w:t>),</w:t>
            </w:r>
          </w:p>
        </w:tc>
        <w:tc>
          <w:tcPr>
            <w:tcW w:w="0" w:type="auto"/>
            <w:vAlign w:val="center"/>
          </w:tcPr>
          <w:p>
            <w:pPr>
              <w:snapToGrid w:val="0"/>
              <w:rPr>
                <w:color w:val="000000"/>
                <w:sz w:val="15"/>
                <w:szCs w:val="15"/>
              </w:rPr>
            </w:pPr>
            <w:r>
              <w:rPr>
                <w:color w:val="000000"/>
                <w:sz w:val="15"/>
                <w:szCs w:val="15"/>
              </w:rPr>
              <w:t>实心带状</w:t>
            </w:r>
            <w:r>
              <w:rPr>
                <w:rFonts w:hint="eastAsia"/>
                <w:color w:val="000000"/>
                <w:sz w:val="15"/>
                <w:szCs w:val="15"/>
                <w:vertAlign w:val="superscript"/>
              </w:rPr>
              <w:t>6</w:t>
            </w:r>
            <w:r>
              <w:rPr>
                <w:color w:val="000000"/>
                <w:sz w:val="15"/>
                <w:szCs w:val="15"/>
                <w:vertAlign w:val="superscript"/>
              </w:rPr>
              <w:t>),</w:t>
            </w:r>
          </w:p>
          <w:p>
            <w:pPr>
              <w:snapToGrid w:val="0"/>
              <w:rPr>
                <w:color w:val="000000"/>
                <w:sz w:val="15"/>
                <w:szCs w:val="15"/>
              </w:rPr>
            </w:pPr>
            <w:r>
              <w:rPr>
                <w:color w:val="000000"/>
                <w:sz w:val="15"/>
                <w:szCs w:val="15"/>
              </w:rPr>
              <w:t>实心圆</w:t>
            </w:r>
            <w:r>
              <w:rPr>
                <w:rFonts w:hint="eastAsia"/>
                <w:color w:val="000000"/>
                <w:sz w:val="15"/>
                <w:szCs w:val="15"/>
              </w:rPr>
              <w:t>状</w:t>
            </w:r>
            <w:r>
              <w:rPr>
                <w:rFonts w:hint="eastAsia"/>
                <w:color w:val="000000"/>
                <w:sz w:val="15"/>
                <w:szCs w:val="15"/>
                <w:vertAlign w:val="superscript"/>
              </w:rPr>
              <w:t>6</w:t>
            </w:r>
            <w:r>
              <w:rPr>
                <w:color w:val="000000"/>
                <w:sz w:val="15"/>
                <w:szCs w:val="15"/>
                <w:vertAlign w:val="superscript"/>
              </w:rPr>
              <w:t>),</w:t>
            </w:r>
          </w:p>
          <w:p>
            <w:pPr>
              <w:snapToGrid w:val="0"/>
              <w:rPr>
                <w:color w:val="000000"/>
                <w:sz w:val="15"/>
                <w:szCs w:val="15"/>
              </w:rPr>
            </w:pPr>
            <w:r>
              <w:rPr>
                <w:color w:val="000000"/>
                <w:sz w:val="15"/>
                <w:szCs w:val="15"/>
              </w:rPr>
              <w:t>绞线</w:t>
            </w:r>
          </w:p>
          <w:p>
            <w:pPr>
              <w:snapToGrid w:val="0"/>
              <w:rPr>
                <w:color w:val="000000"/>
                <w:sz w:val="18"/>
                <w:szCs w:val="18"/>
              </w:rPr>
            </w:pPr>
            <w:r>
              <w:rPr>
                <w:color w:val="000000"/>
                <w:sz w:val="15"/>
                <w:szCs w:val="15"/>
              </w:rPr>
              <w:t>实心圆</w:t>
            </w:r>
            <w:r>
              <w:rPr>
                <w:rFonts w:hint="eastAsia"/>
                <w:color w:val="000000"/>
                <w:sz w:val="15"/>
                <w:szCs w:val="15"/>
              </w:rPr>
              <w:t>状</w:t>
            </w:r>
            <w:r>
              <w:rPr>
                <w:color w:val="000000"/>
                <w:sz w:val="15"/>
                <w:szCs w:val="15"/>
              </w:rPr>
              <w:t xml:space="preserve"> </w:t>
            </w:r>
            <w:r>
              <w:rPr>
                <w:color w:val="000000"/>
                <w:sz w:val="15"/>
                <w:szCs w:val="15"/>
                <w:vertAlign w:val="superscript"/>
              </w:rPr>
              <w:t>3),</w:t>
            </w:r>
            <w:r>
              <w:rPr>
                <w:color w:val="000000"/>
                <w:sz w:val="15"/>
                <w:szCs w:val="15"/>
              </w:rPr>
              <w:t xml:space="preserve"> </w:t>
            </w:r>
            <w:r>
              <w:rPr>
                <w:color w:val="000000"/>
                <w:sz w:val="15"/>
                <w:szCs w:val="15"/>
                <w:vertAlign w:val="superscript"/>
              </w:rPr>
              <w:t>4)</w:t>
            </w:r>
          </w:p>
        </w:tc>
        <w:tc>
          <w:tcPr>
            <w:tcW w:w="0" w:type="auto"/>
            <w:vAlign w:val="center"/>
          </w:tcPr>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50</w:t>
            </w:r>
          </w:p>
          <w:p>
            <w:pPr>
              <w:snapToGrid w:val="0"/>
              <w:jc w:val="center"/>
              <w:rPr>
                <w:color w:val="000000"/>
                <w:sz w:val="18"/>
                <w:szCs w:val="18"/>
              </w:rPr>
            </w:pPr>
            <w:r>
              <w:rPr>
                <w:color w:val="000000"/>
                <w:sz w:val="18"/>
                <w:szCs w:val="18"/>
              </w:rPr>
              <w:t>70</w:t>
            </w:r>
          </w:p>
          <w:p>
            <w:pPr>
              <w:snapToGrid w:val="0"/>
              <w:jc w:val="center"/>
              <w:rPr>
                <w:color w:val="000000"/>
                <w:sz w:val="18"/>
                <w:szCs w:val="18"/>
              </w:rPr>
            </w:pPr>
            <w:r>
              <w:rPr>
                <w:color w:val="000000"/>
                <w:sz w:val="18"/>
                <w:szCs w:val="18"/>
              </w:rPr>
              <w:t>200</w:t>
            </w:r>
          </w:p>
        </w:tc>
        <w:tc>
          <w:tcPr>
            <w:tcW w:w="3031" w:type="dxa"/>
            <w:vAlign w:val="center"/>
          </w:tcPr>
          <w:p>
            <w:pPr>
              <w:snapToGrid w:val="0"/>
              <w:rPr>
                <w:color w:val="000000"/>
                <w:sz w:val="18"/>
                <w:szCs w:val="18"/>
              </w:rPr>
            </w:pPr>
            <w:r>
              <w:rPr>
                <w:color w:val="000000"/>
                <w:sz w:val="18"/>
                <w:szCs w:val="18"/>
              </w:rPr>
              <w:t>最小厚度2.5mm；</w:t>
            </w:r>
          </w:p>
          <w:p>
            <w:pPr>
              <w:snapToGrid w:val="0"/>
              <w:rPr>
                <w:color w:val="000000"/>
                <w:sz w:val="18"/>
                <w:szCs w:val="18"/>
              </w:rPr>
            </w:pPr>
            <w:r>
              <w:rPr>
                <w:color w:val="000000"/>
                <w:sz w:val="18"/>
                <w:szCs w:val="18"/>
              </w:rPr>
              <w:t>直径8mm；</w:t>
            </w:r>
          </w:p>
          <w:p>
            <w:pPr>
              <w:snapToGrid w:val="0"/>
              <w:rPr>
                <w:color w:val="000000"/>
                <w:sz w:val="18"/>
                <w:szCs w:val="18"/>
              </w:rPr>
            </w:pPr>
            <w:r>
              <w:rPr>
                <w:color w:val="000000"/>
                <w:sz w:val="18"/>
                <w:szCs w:val="18"/>
              </w:rPr>
              <w:t>绞线</w:t>
            </w:r>
            <w:r>
              <w:rPr>
                <w:rFonts w:hint="eastAsia"/>
                <w:color w:val="000000"/>
                <w:sz w:val="18"/>
                <w:szCs w:val="18"/>
              </w:rPr>
              <w:t>每股</w:t>
            </w:r>
            <w:r>
              <w:rPr>
                <w:color w:val="000000"/>
                <w:sz w:val="18"/>
                <w:szCs w:val="18"/>
              </w:rPr>
              <w:t>的最小直径为1.7mm</w:t>
            </w:r>
          </w:p>
          <w:p>
            <w:pPr>
              <w:snapToGrid w:val="0"/>
              <w:rPr>
                <w:color w:val="000000"/>
                <w:sz w:val="18"/>
                <w:szCs w:val="18"/>
              </w:rPr>
            </w:pPr>
            <w:r>
              <w:rPr>
                <w:color w:val="000000"/>
                <w:sz w:val="18"/>
                <w:szCs w:val="18"/>
              </w:rPr>
              <w:t>直径为16mm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jc w:val="center"/>
        </w:trPr>
        <w:tc>
          <w:tcPr>
            <w:tcW w:w="7638" w:type="dxa"/>
            <w:gridSpan w:val="4"/>
            <w:tcBorders>
              <w:bottom w:val="single" w:color="auto" w:sz="4" w:space="0"/>
            </w:tcBorders>
            <w:vAlign w:val="center"/>
          </w:tcPr>
          <w:p>
            <w:pPr>
              <w:numPr>
                <w:ilvl w:val="0"/>
                <w:numId w:val="10"/>
              </w:numPr>
              <w:rPr>
                <w:sz w:val="18"/>
                <w:szCs w:val="18"/>
              </w:rPr>
            </w:pPr>
            <w:r>
              <w:rPr>
                <w:rFonts w:hint="eastAsia"/>
                <w:sz w:val="18"/>
                <w:szCs w:val="18"/>
              </w:rPr>
              <w:t>机械特性、电气特性和腐蚀特性应满足IEC 62561系列的要求。</w:t>
            </w:r>
          </w:p>
          <w:p>
            <w:pPr>
              <w:numPr>
                <w:ilvl w:val="0"/>
                <w:numId w:val="10"/>
              </w:numPr>
              <w:rPr>
                <w:sz w:val="18"/>
                <w:szCs w:val="18"/>
              </w:rPr>
            </w:pPr>
            <w:r>
              <w:rPr>
                <w:rFonts w:hint="eastAsia"/>
                <w:sz w:val="18"/>
                <w:szCs w:val="18"/>
              </w:rPr>
              <w:t>在机械应力不是重要要求时，50</w:t>
            </w:r>
            <w:r>
              <w:rPr>
                <w:sz w:val="18"/>
                <w:szCs w:val="18"/>
              </w:rPr>
              <w:t xml:space="preserve"> mm</w:t>
            </w:r>
            <w:r>
              <w:rPr>
                <w:sz w:val="18"/>
                <w:szCs w:val="18"/>
                <w:vertAlign w:val="superscript"/>
              </w:rPr>
              <w:t>2</w:t>
            </w:r>
            <w:r>
              <w:rPr>
                <w:rFonts w:hint="eastAsia"/>
                <w:sz w:val="18"/>
                <w:szCs w:val="18"/>
              </w:rPr>
              <w:t>（直径为8mm）的连接杆应改为25</w:t>
            </w:r>
            <w:r>
              <w:rPr>
                <w:sz w:val="18"/>
                <w:szCs w:val="18"/>
              </w:rPr>
              <w:t xml:space="preserve"> mm</w:t>
            </w:r>
            <w:r>
              <w:rPr>
                <w:sz w:val="18"/>
                <w:szCs w:val="18"/>
                <w:vertAlign w:val="superscript"/>
              </w:rPr>
              <w:t>2</w:t>
            </w:r>
            <w:r>
              <w:rPr>
                <w:rFonts w:hint="eastAsia"/>
                <w:sz w:val="18"/>
                <w:szCs w:val="18"/>
                <w:vertAlign w:val="superscript"/>
              </w:rPr>
              <w:t xml:space="preserve"> </w:t>
            </w:r>
            <w:r>
              <w:rPr>
                <w:rFonts w:hint="eastAsia"/>
                <w:sz w:val="18"/>
                <w:szCs w:val="18"/>
              </w:rPr>
              <w:t>。</w:t>
            </w:r>
          </w:p>
          <w:p>
            <w:pPr>
              <w:numPr>
                <w:ilvl w:val="0"/>
                <w:numId w:val="10"/>
              </w:numPr>
              <w:rPr>
                <w:sz w:val="18"/>
                <w:szCs w:val="18"/>
              </w:rPr>
            </w:pPr>
            <w:r>
              <w:rPr>
                <w:sz w:val="18"/>
                <w:szCs w:val="18"/>
              </w:rPr>
              <w:t>杆状接闪器</w:t>
            </w:r>
            <w:r>
              <w:rPr>
                <w:rFonts w:hint="eastAsia"/>
                <w:sz w:val="18"/>
                <w:szCs w:val="18"/>
              </w:rPr>
              <w:t>、接地棒的应用。当机械应力（例如风力）不够成危险时可以使用直径9.5mm，1M长的连接杆。</w:t>
            </w:r>
          </w:p>
          <w:p>
            <w:pPr>
              <w:numPr>
                <w:ilvl w:val="0"/>
                <w:numId w:val="10"/>
              </w:numPr>
              <w:rPr>
                <w:sz w:val="18"/>
                <w:szCs w:val="18"/>
              </w:rPr>
            </w:pPr>
            <w:r>
              <w:rPr>
                <w:rFonts w:hint="eastAsia"/>
                <w:sz w:val="18"/>
                <w:szCs w:val="18"/>
              </w:rPr>
              <w:t>如果热应力和机械应力的影响很大时，杆的横截面积应该改为75</w:t>
            </w:r>
            <w:r>
              <w:rPr>
                <w:sz w:val="18"/>
                <w:szCs w:val="18"/>
              </w:rPr>
              <w:t xml:space="preserve"> mm</w:t>
            </w:r>
            <w:r>
              <w:rPr>
                <w:sz w:val="18"/>
                <w:szCs w:val="18"/>
                <w:vertAlign w:val="superscript"/>
              </w:rPr>
              <w:t>2</w:t>
            </w:r>
            <w:r>
              <w:rPr>
                <w:rFonts w:hint="eastAsia"/>
                <w:sz w:val="18"/>
                <w:szCs w:val="18"/>
              </w:rPr>
              <w:t>。</w:t>
            </w:r>
          </w:p>
          <w:p>
            <w:pPr>
              <w:snapToGrid w:val="0"/>
              <w:rPr>
                <w:szCs w:val="18"/>
              </w:rPr>
            </w:pPr>
          </w:p>
        </w:tc>
      </w:tr>
    </w:tbl>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第5.6.2条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接地极材料、形状及最小尺寸分别是什么？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8"/>
        <w:gridCol w:w="2160"/>
        <w:gridCol w:w="900"/>
        <w:gridCol w:w="1080"/>
        <w:gridCol w:w="1080"/>
        <w:gridCol w:w="18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restart"/>
            <w:vAlign w:val="center"/>
          </w:tcPr>
          <w:p>
            <w:pPr>
              <w:snapToGrid w:val="0"/>
              <w:jc w:val="center"/>
              <w:rPr>
                <w:color w:val="000000"/>
                <w:sz w:val="18"/>
                <w:szCs w:val="18"/>
              </w:rPr>
            </w:pPr>
            <w:r>
              <w:rPr>
                <w:color w:val="000000"/>
                <w:sz w:val="18"/>
                <w:szCs w:val="18"/>
              </w:rPr>
              <w:t>材料</w:t>
            </w:r>
          </w:p>
        </w:tc>
        <w:tc>
          <w:tcPr>
            <w:tcW w:w="2160" w:type="dxa"/>
            <w:vMerge w:val="restart"/>
            <w:vAlign w:val="center"/>
          </w:tcPr>
          <w:p>
            <w:pPr>
              <w:snapToGrid w:val="0"/>
              <w:jc w:val="center"/>
              <w:rPr>
                <w:color w:val="000000"/>
                <w:sz w:val="18"/>
                <w:szCs w:val="18"/>
              </w:rPr>
            </w:pPr>
            <w:r>
              <w:rPr>
                <w:color w:val="000000"/>
                <w:sz w:val="18"/>
                <w:szCs w:val="18"/>
              </w:rPr>
              <w:t>形状</w:t>
            </w:r>
          </w:p>
        </w:tc>
        <w:tc>
          <w:tcPr>
            <w:tcW w:w="3060" w:type="dxa"/>
            <w:gridSpan w:val="3"/>
            <w:vAlign w:val="center"/>
          </w:tcPr>
          <w:p>
            <w:pPr>
              <w:snapToGrid w:val="0"/>
              <w:jc w:val="center"/>
              <w:rPr>
                <w:color w:val="000000"/>
                <w:sz w:val="18"/>
                <w:szCs w:val="18"/>
              </w:rPr>
            </w:pPr>
            <w:r>
              <w:rPr>
                <w:color w:val="000000"/>
                <w:sz w:val="18"/>
                <w:szCs w:val="18"/>
              </w:rPr>
              <w:t>最小尺寸</w:t>
            </w:r>
          </w:p>
        </w:tc>
        <w:tc>
          <w:tcPr>
            <w:tcW w:w="1876" w:type="dxa"/>
            <w:vMerge w:val="restart"/>
            <w:vAlign w:val="center"/>
          </w:tcPr>
          <w:p>
            <w:pPr>
              <w:snapToGrid w:val="0"/>
              <w:jc w:val="center"/>
              <w:rPr>
                <w:color w:val="000000"/>
                <w:sz w:val="18"/>
                <w:szCs w:val="18"/>
              </w:rPr>
            </w:pPr>
            <w:r>
              <w:rPr>
                <w:color w:val="000000"/>
                <w:sz w:val="18"/>
                <w:szCs w:val="18"/>
              </w:rPr>
              <w:t>注　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vMerge w:val="continue"/>
            <w:vAlign w:val="center"/>
          </w:tcPr>
          <w:p>
            <w:pPr>
              <w:snapToGrid w:val="0"/>
              <w:rPr>
                <w:color w:val="000000"/>
                <w:sz w:val="18"/>
                <w:szCs w:val="18"/>
              </w:rPr>
            </w:pPr>
          </w:p>
        </w:tc>
        <w:tc>
          <w:tcPr>
            <w:tcW w:w="900" w:type="dxa"/>
            <w:vAlign w:val="center"/>
          </w:tcPr>
          <w:p>
            <w:pPr>
              <w:snapToGrid w:val="0"/>
              <w:jc w:val="center"/>
              <w:rPr>
                <w:color w:val="000000"/>
                <w:sz w:val="18"/>
                <w:szCs w:val="18"/>
              </w:rPr>
            </w:pPr>
            <w:r>
              <w:rPr>
                <w:color w:val="000000"/>
                <w:sz w:val="18"/>
                <w:szCs w:val="18"/>
              </w:rPr>
              <w:t>接地</w:t>
            </w:r>
            <w:r>
              <w:rPr>
                <w:rFonts w:hint="eastAsia"/>
                <w:color w:val="000000"/>
                <w:sz w:val="18"/>
                <w:szCs w:val="18"/>
              </w:rPr>
              <w:t>棒</w:t>
            </w:r>
          </w:p>
          <w:p>
            <w:pPr>
              <w:snapToGrid w:val="0"/>
              <w:jc w:val="center"/>
              <w:rPr>
                <w:color w:val="000000"/>
                <w:sz w:val="18"/>
                <w:szCs w:val="18"/>
              </w:rPr>
            </w:pPr>
            <w:r>
              <w:rPr>
                <w:rFonts w:hAnsi="宋体"/>
                <w:color w:val="000000"/>
                <w:sz w:val="18"/>
                <w:szCs w:val="18"/>
              </w:rPr>
              <w:t>Φ</w:t>
            </w:r>
            <w:r>
              <w:rPr>
                <w:color w:val="000000"/>
                <w:sz w:val="18"/>
                <w:szCs w:val="18"/>
              </w:rPr>
              <w:t>mm</w:t>
            </w:r>
          </w:p>
        </w:tc>
        <w:tc>
          <w:tcPr>
            <w:tcW w:w="1080" w:type="dxa"/>
            <w:vAlign w:val="center"/>
          </w:tcPr>
          <w:p>
            <w:pPr>
              <w:snapToGrid w:val="0"/>
              <w:rPr>
                <w:color w:val="000000"/>
                <w:sz w:val="18"/>
                <w:szCs w:val="18"/>
              </w:rPr>
            </w:pPr>
            <w:r>
              <w:rPr>
                <w:rFonts w:hint="eastAsia"/>
                <w:color w:val="000000"/>
                <w:sz w:val="18"/>
                <w:szCs w:val="18"/>
              </w:rPr>
              <w:t>接地导体</w:t>
            </w:r>
          </w:p>
        </w:tc>
        <w:tc>
          <w:tcPr>
            <w:tcW w:w="1080" w:type="dxa"/>
            <w:vAlign w:val="center"/>
          </w:tcPr>
          <w:p>
            <w:pPr>
              <w:snapToGrid w:val="0"/>
              <w:jc w:val="center"/>
              <w:rPr>
                <w:color w:val="000000"/>
                <w:sz w:val="18"/>
                <w:szCs w:val="18"/>
              </w:rPr>
            </w:pPr>
            <w:r>
              <w:rPr>
                <w:color w:val="000000"/>
                <w:sz w:val="18"/>
                <w:szCs w:val="18"/>
              </w:rPr>
              <w:t>接地板</w:t>
            </w:r>
          </w:p>
          <w:p>
            <w:pPr>
              <w:snapToGrid w:val="0"/>
              <w:jc w:val="center"/>
              <w:rPr>
                <w:color w:val="000000"/>
                <w:sz w:val="18"/>
                <w:szCs w:val="18"/>
              </w:rPr>
            </w:pPr>
            <w:r>
              <w:rPr>
                <w:rFonts w:hint="eastAsia"/>
                <w:color w:val="000000"/>
                <w:sz w:val="18"/>
                <w:szCs w:val="18"/>
              </w:rPr>
              <w:t>mm</w:t>
            </w:r>
          </w:p>
        </w:tc>
        <w:tc>
          <w:tcPr>
            <w:tcW w:w="1876" w:type="dxa"/>
            <w:vMerge w:val="continue"/>
            <w:vAlign w:val="center"/>
          </w:tcPr>
          <w:p>
            <w:pPr>
              <w:snapToGrid w:val="0"/>
              <w:rPr>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23" w:hRule="atLeast"/>
          <w:jc w:val="center"/>
        </w:trPr>
        <w:tc>
          <w:tcPr>
            <w:tcW w:w="538" w:type="dxa"/>
            <w:vAlign w:val="center"/>
          </w:tcPr>
          <w:p>
            <w:pPr>
              <w:snapToGrid w:val="0"/>
              <w:rPr>
                <w:color w:val="000000"/>
                <w:sz w:val="18"/>
                <w:szCs w:val="18"/>
              </w:rPr>
            </w:pPr>
            <w:r>
              <w:rPr>
                <w:color w:val="000000"/>
                <w:sz w:val="18"/>
                <w:szCs w:val="18"/>
              </w:rPr>
              <w:t>铜</w:t>
            </w:r>
          </w:p>
        </w:tc>
        <w:tc>
          <w:tcPr>
            <w:tcW w:w="2160" w:type="dxa"/>
            <w:vAlign w:val="center"/>
          </w:tcPr>
          <w:p>
            <w:pPr>
              <w:snapToGrid w:val="0"/>
              <w:rPr>
                <w:color w:val="000000"/>
                <w:sz w:val="15"/>
                <w:szCs w:val="15"/>
              </w:rPr>
            </w:pPr>
            <w:r>
              <w:rPr>
                <w:color w:val="000000"/>
                <w:sz w:val="15"/>
                <w:szCs w:val="15"/>
              </w:rPr>
              <w:t>绞线</w:t>
            </w:r>
            <w:r>
              <w:rPr>
                <w:color w:val="000000"/>
                <w:sz w:val="15"/>
                <w:szCs w:val="15"/>
                <w:vertAlign w:val="superscript"/>
              </w:rPr>
              <w:t>3</w:t>
            </w:r>
            <w:r>
              <w:rPr>
                <w:rFonts w:hint="eastAsia"/>
                <w:color w:val="000000"/>
                <w:sz w:val="15"/>
                <w:szCs w:val="15"/>
                <w:vertAlign w:val="superscript"/>
              </w:rPr>
              <w:t>)</w:t>
            </w:r>
          </w:p>
          <w:p>
            <w:pPr>
              <w:snapToGrid w:val="0"/>
              <w:rPr>
                <w:color w:val="000000"/>
                <w:sz w:val="15"/>
                <w:szCs w:val="15"/>
              </w:rPr>
            </w:pPr>
            <w:r>
              <w:rPr>
                <w:color w:val="000000"/>
                <w:sz w:val="15"/>
                <w:szCs w:val="15"/>
              </w:rPr>
              <w:t>实心圆</w:t>
            </w:r>
            <w:r>
              <w:rPr>
                <w:color w:val="000000"/>
                <w:sz w:val="15"/>
                <w:szCs w:val="15"/>
                <w:vertAlign w:val="superscript"/>
              </w:rPr>
              <w:t>3</w:t>
            </w:r>
            <w:r>
              <w:rPr>
                <w:rFonts w:hint="eastAsia"/>
                <w:color w:val="000000"/>
                <w:sz w:val="15"/>
                <w:szCs w:val="15"/>
                <w:vertAlign w:val="superscript"/>
              </w:rPr>
              <w:t>)</w:t>
            </w:r>
          </w:p>
          <w:p>
            <w:pPr>
              <w:snapToGrid w:val="0"/>
              <w:rPr>
                <w:color w:val="000000"/>
                <w:sz w:val="15"/>
                <w:szCs w:val="15"/>
              </w:rPr>
            </w:pPr>
            <w:r>
              <w:rPr>
                <w:color w:val="000000"/>
                <w:sz w:val="15"/>
                <w:szCs w:val="15"/>
              </w:rPr>
              <w:t>实心带状</w:t>
            </w:r>
            <w:r>
              <w:rPr>
                <w:color w:val="000000"/>
                <w:sz w:val="15"/>
                <w:szCs w:val="15"/>
                <w:vertAlign w:val="superscript"/>
              </w:rPr>
              <w:t>3</w:t>
            </w:r>
            <w:r>
              <w:rPr>
                <w:rFonts w:hint="eastAsia"/>
                <w:color w:val="000000"/>
                <w:sz w:val="15"/>
                <w:szCs w:val="15"/>
                <w:vertAlign w:val="superscript"/>
              </w:rPr>
              <w:t>)</w:t>
            </w:r>
          </w:p>
          <w:p>
            <w:pPr>
              <w:snapToGrid w:val="0"/>
              <w:rPr>
                <w:color w:val="000000"/>
                <w:sz w:val="15"/>
                <w:szCs w:val="15"/>
              </w:rPr>
            </w:pPr>
            <w:r>
              <w:rPr>
                <w:color w:val="000000"/>
                <w:sz w:val="15"/>
                <w:szCs w:val="15"/>
              </w:rPr>
              <w:t>实心圆</w:t>
            </w:r>
          </w:p>
          <w:p>
            <w:pPr>
              <w:snapToGrid w:val="0"/>
              <w:rPr>
                <w:color w:val="000000"/>
                <w:sz w:val="15"/>
                <w:szCs w:val="15"/>
              </w:rPr>
            </w:pPr>
            <w:r>
              <w:rPr>
                <w:color w:val="000000"/>
                <w:sz w:val="15"/>
                <w:szCs w:val="15"/>
              </w:rPr>
              <w:t>管</w:t>
            </w:r>
            <w:r>
              <w:rPr>
                <w:rFonts w:hint="eastAsia"/>
                <w:color w:val="000000"/>
                <w:sz w:val="15"/>
                <w:szCs w:val="15"/>
              </w:rPr>
              <w:t>道</w:t>
            </w:r>
          </w:p>
          <w:p>
            <w:pPr>
              <w:snapToGrid w:val="0"/>
              <w:rPr>
                <w:color w:val="000000"/>
                <w:sz w:val="15"/>
                <w:szCs w:val="15"/>
              </w:rPr>
            </w:pPr>
            <w:r>
              <w:rPr>
                <w:color w:val="000000"/>
                <w:sz w:val="15"/>
                <w:szCs w:val="15"/>
              </w:rPr>
              <w:t>实心板</w:t>
            </w:r>
          </w:p>
          <w:p>
            <w:pPr>
              <w:snapToGrid w:val="0"/>
              <w:rPr>
                <w:color w:val="000000"/>
                <w:sz w:val="18"/>
                <w:szCs w:val="18"/>
              </w:rPr>
            </w:pPr>
            <w:r>
              <w:rPr>
                <w:color w:val="000000"/>
                <w:sz w:val="15"/>
                <w:szCs w:val="15"/>
              </w:rPr>
              <w:t>格状板</w:t>
            </w:r>
          </w:p>
        </w:tc>
        <w:tc>
          <w:tcPr>
            <w:tcW w:w="900" w:type="dxa"/>
            <w:vAlign w:val="center"/>
          </w:tcPr>
          <w:p>
            <w:pPr>
              <w:snapToGrid w:val="0"/>
              <w:rPr>
                <w:color w:val="000000"/>
                <w:sz w:val="15"/>
                <w:szCs w:val="15"/>
              </w:rPr>
            </w:pPr>
            <w:r>
              <w:rPr>
                <w:color w:val="000000"/>
                <w:sz w:val="15"/>
                <w:szCs w:val="15"/>
              </w:rPr>
              <w:t>15</w:t>
            </w:r>
            <w:r>
              <w:rPr>
                <w:rFonts w:hint="eastAsia"/>
                <w:color w:val="000000"/>
                <w:sz w:val="15"/>
                <w:szCs w:val="15"/>
              </w:rPr>
              <w:t xml:space="preserve"> </w:t>
            </w:r>
            <w:r>
              <w:rPr>
                <w:rFonts w:hint="eastAsia"/>
                <w:color w:val="000000"/>
                <w:sz w:val="15"/>
                <w:szCs w:val="15"/>
                <w:vertAlign w:val="superscript"/>
              </w:rPr>
              <w:t>8)</w:t>
            </w:r>
          </w:p>
          <w:p>
            <w:pPr>
              <w:snapToGrid w:val="0"/>
              <w:rPr>
                <w:color w:val="000000"/>
                <w:sz w:val="15"/>
                <w:szCs w:val="15"/>
              </w:rPr>
            </w:pPr>
            <w:r>
              <w:rPr>
                <w:color w:val="000000"/>
                <w:sz w:val="15"/>
                <w:szCs w:val="15"/>
              </w:rPr>
              <w:t>20</w:t>
            </w:r>
          </w:p>
        </w:tc>
        <w:tc>
          <w:tcPr>
            <w:tcW w:w="1080" w:type="dxa"/>
            <w:vAlign w:val="center"/>
          </w:tcPr>
          <w:p>
            <w:pPr>
              <w:snapToGrid w:val="0"/>
              <w:jc w:val="center"/>
              <w:rPr>
                <w:color w:val="000000"/>
                <w:sz w:val="15"/>
                <w:szCs w:val="15"/>
                <w:vertAlign w:val="superscript"/>
              </w:rPr>
            </w:pPr>
            <w:r>
              <w:rPr>
                <w:color w:val="000000"/>
                <w:sz w:val="15"/>
                <w:szCs w:val="15"/>
              </w:rPr>
              <w:t>50mm</w:t>
            </w:r>
            <w:r>
              <w:rPr>
                <w:rFonts w:hint="eastAsia"/>
                <w:color w:val="000000"/>
                <w:sz w:val="15"/>
                <w:szCs w:val="15"/>
                <w:vertAlign w:val="superscript"/>
              </w:rPr>
              <w:t>2</w:t>
            </w:r>
          </w:p>
          <w:p>
            <w:pPr>
              <w:snapToGrid w:val="0"/>
              <w:jc w:val="center"/>
              <w:rPr>
                <w:color w:val="000000"/>
                <w:sz w:val="15"/>
                <w:szCs w:val="15"/>
                <w:vertAlign w:val="superscript"/>
              </w:rPr>
            </w:pPr>
          </w:p>
          <w:p>
            <w:pPr>
              <w:snapToGrid w:val="0"/>
              <w:jc w:val="center"/>
              <w:rPr>
                <w:color w:val="000000"/>
                <w:sz w:val="15"/>
                <w:szCs w:val="15"/>
                <w:vertAlign w:val="superscript"/>
              </w:rPr>
            </w:pPr>
            <w:r>
              <w:rPr>
                <w:color w:val="000000"/>
                <w:sz w:val="15"/>
                <w:szCs w:val="15"/>
              </w:rPr>
              <w:t>50mm</w:t>
            </w:r>
            <w:r>
              <w:rPr>
                <w:rFonts w:hint="eastAsia"/>
                <w:color w:val="000000"/>
                <w:sz w:val="15"/>
                <w:szCs w:val="15"/>
                <w:vertAlign w:val="superscript"/>
              </w:rPr>
              <w:t>2</w:t>
            </w:r>
          </w:p>
          <w:p>
            <w:pPr>
              <w:snapToGrid w:val="0"/>
              <w:jc w:val="center"/>
              <w:rPr>
                <w:color w:val="000000"/>
                <w:sz w:val="15"/>
                <w:szCs w:val="15"/>
                <w:vertAlign w:val="superscript"/>
              </w:rPr>
            </w:pPr>
            <w:r>
              <w:rPr>
                <w:color w:val="000000"/>
                <w:sz w:val="15"/>
                <w:szCs w:val="15"/>
              </w:rPr>
              <w:t>50mm</w:t>
            </w:r>
            <w:r>
              <w:rPr>
                <w:rFonts w:hint="eastAsia"/>
                <w:color w:val="000000"/>
                <w:sz w:val="15"/>
                <w:szCs w:val="15"/>
                <w:vertAlign w:val="superscript"/>
              </w:rPr>
              <w:t>2</w:t>
            </w:r>
          </w:p>
          <w:p>
            <w:pPr>
              <w:snapToGrid w:val="0"/>
              <w:jc w:val="center"/>
              <w:rPr>
                <w:color w:val="000000"/>
                <w:sz w:val="15"/>
                <w:szCs w:val="15"/>
                <w:vertAlign w:val="superscript"/>
              </w:rPr>
            </w:pPr>
          </w:p>
          <w:p>
            <w:pPr>
              <w:snapToGrid w:val="0"/>
              <w:jc w:val="center"/>
              <w:rPr>
                <w:color w:val="000000"/>
                <w:sz w:val="15"/>
                <w:szCs w:val="15"/>
                <w:vertAlign w:val="superscript"/>
              </w:rPr>
            </w:pPr>
          </w:p>
          <w:p>
            <w:pPr>
              <w:snapToGrid w:val="0"/>
              <w:jc w:val="center"/>
              <w:rPr>
                <w:color w:val="000000"/>
                <w:sz w:val="15"/>
                <w:szCs w:val="15"/>
                <w:vertAlign w:val="superscript"/>
              </w:rPr>
            </w:pPr>
          </w:p>
          <w:p>
            <w:pPr>
              <w:snapToGrid w:val="0"/>
              <w:jc w:val="center"/>
              <w:rPr>
                <w:color w:val="000000"/>
                <w:sz w:val="15"/>
                <w:szCs w:val="15"/>
                <w:vertAlign w:val="superscript"/>
              </w:rPr>
            </w:pPr>
          </w:p>
          <w:p>
            <w:pPr>
              <w:snapToGrid w:val="0"/>
              <w:rPr>
                <w:color w:val="000000"/>
                <w:sz w:val="15"/>
                <w:szCs w:val="15"/>
              </w:rPr>
            </w:pPr>
          </w:p>
        </w:tc>
        <w:tc>
          <w:tcPr>
            <w:tcW w:w="1080" w:type="dxa"/>
            <w:vAlign w:val="center"/>
          </w:tcPr>
          <w:p>
            <w:pPr>
              <w:snapToGrid w:val="0"/>
              <w:rPr>
                <w:color w:val="000000"/>
                <w:sz w:val="15"/>
                <w:szCs w:val="15"/>
              </w:rPr>
            </w:pPr>
          </w:p>
          <w:p>
            <w:pPr>
              <w:snapToGrid w:val="0"/>
              <w:rPr>
                <w:color w:val="000000"/>
                <w:sz w:val="15"/>
                <w:szCs w:val="15"/>
              </w:rPr>
            </w:pPr>
          </w:p>
          <w:p>
            <w:pPr>
              <w:snapToGrid w:val="0"/>
              <w:rPr>
                <w:color w:val="000000"/>
                <w:sz w:val="15"/>
                <w:szCs w:val="15"/>
              </w:rPr>
            </w:pPr>
          </w:p>
          <w:p>
            <w:pPr>
              <w:snapToGrid w:val="0"/>
              <w:rPr>
                <w:color w:val="000000"/>
                <w:sz w:val="15"/>
                <w:szCs w:val="15"/>
              </w:rPr>
            </w:pPr>
          </w:p>
          <w:p>
            <w:pPr>
              <w:snapToGrid w:val="0"/>
              <w:rPr>
                <w:color w:val="000000"/>
                <w:sz w:val="15"/>
                <w:szCs w:val="15"/>
              </w:rPr>
            </w:pPr>
          </w:p>
          <w:p>
            <w:pPr>
              <w:snapToGrid w:val="0"/>
              <w:rPr>
                <w:color w:val="000000"/>
                <w:sz w:val="15"/>
                <w:szCs w:val="15"/>
              </w:rPr>
            </w:pPr>
            <w:r>
              <w:rPr>
                <w:color w:val="000000"/>
                <w:sz w:val="15"/>
                <w:szCs w:val="15"/>
              </w:rPr>
              <w:t>500×500</w:t>
            </w:r>
          </w:p>
          <w:p>
            <w:pPr>
              <w:snapToGrid w:val="0"/>
              <w:rPr>
                <w:color w:val="000000"/>
                <w:sz w:val="15"/>
                <w:szCs w:val="15"/>
              </w:rPr>
            </w:pPr>
            <w:r>
              <w:rPr>
                <w:color w:val="000000"/>
                <w:sz w:val="15"/>
                <w:szCs w:val="15"/>
              </w:rPr>
              <w:t>600×600</w:t>
            </w:r>
          </w:p>
        </w:tc>
        <w:tc>
          <w:tcPr>
            <w:tcW w:w="1876" w:type="dxa"/>
            <w:vAlign w:val="center"/>
          </w:tcPr>
          <w:p>
            <w:pPr>
              <w:snapToGrid w:val="0"/>
              <w:rPr>
                <w:color w:val="000000"/>
                <w:sz w:val="15"/>
                <w:szCs w:val="15"/>
              </w:rPr>
            </w:pPr>
            <w:r>
              <w:rPr>
                <w:color w:val="000000"/>
                <w:sz w:val="15"/>
                <w:szCs w:val="15"/>
              </w:rPr>
              <w:t>接地绞线最小直径1.7mm</w:t>
            </w:r>
          </w:p>
          <w:p>
            <w:pPr>
              <w:snapToGrid w:val="0"/>
              <w:rPr>
                <w:color w:val="000000"/>
                <w:sz w:val="15"/>
                <w:szCs w:val="15"/>
              </w:rPr>
            </w:pPr>
          </w:p>
          <w:p>
            <w:pPr>
              <w:snapToGrid w:val="0"/>
              <w:rPr>
                <w:color w:val="000000"/>
                <w:sz w:val="15"/>
                <w:szCs w:val="15"/>
              </w:rPr>
            </w:pPr>
            <w:r>
              <w:rPr>
                <w:color w:val="000000"/>
                <w:sz w:val="15"/>
                <w:szCs w:val="15"/>
              </w:rPr>
              <w:t>直径8mm</w:t>
            </w:r>
          </w:p>
          <w:p>
            <w:pPr>
              <w:snapToGrid w:val="0"/>
              <w:rPr>
                <w:color w:val="000000"/>
                <w:sz w:val="15"/>
                <w:szCs w:val="15"/>
              </w:rPr>
            </w:pPr>
            <w:r>
              <w:rPr>
                <w:color w:val="000000"/>
                <w:sz w:val="15"/>
                <w:szCs w:val="15"/>
              </w:rPr>
              <w:t>最小厚度2mm</w:t>
            </w:r>
          </w:p>
          <w:p>
            <w:pPr>
              <w:snapToGrid w:val="0"/>
              <w:rPr>
                <w:color w:val="000000"/>
                <w:sz w:val="15"/>
                <w:szCs w:val="15"/>
              </w:rPr>
            </w:pPr>
          </w:p>
          <w:p>
            <w:pPr>
              <w:snapToGrid w:val="0"/>
              <w:rPr>
                <w:color w:val="000000"/>
                <w:sz w:val="15"/>
                <w:szCs w:val="15"/>
              </w:rPr>
            </w:pPr>
            <w:r>
              <w:rPr>
                <w:rFonts w:hint="eastAsia"/>
                <w:color w:val="000000"/>
                <w:sz w:val="15"/>
                <w:szCs w:val="15"/>
              </w:rPr>
              <w:t>管壁</w:t>
            </w:r>
            <w:r>
              <w:rPr>
                <w:color w:val="000000"/>
                <w:sz w:val="15"/>
                <w:szCs w:val="15"/>
              </w:rPr>
              <w:t>厚度最小2mm</w:t>
            </w:r>
          </w:p>
          <w:p>
            <w:pPr>
              <w:snapToGrid w:val="0"/>
              <w:rPr>
                <w:color w:val="000000"/>
                <w:sz w:val="15"/>
                <w:szCs w:val="15"/>
              </w:rPr>
            </w:pPr>
            <w:r>
              <w:rPr>
                <w:color w:val="000000"/>
                <w:sz w:val="15"/>
                <w:szCs w:val="15"/>
              </w:rPr>
              <w:t>最小厚度2mm</w:t>
            </w:r>
          </w:p>
          <w:p>
            <w:pPr>
              <w:snapToGrid w:val="0"/>
              <w:rPr>
                <w:color w:val="000000"/>
                <w:sz w:val="15"/>
                <w:szCs w:val="15"/>
              </w:rPr>
            </w:pPr>
            <w:r>
              <w:rPr>
                <w:color w:val="000000"/>
                <w:sz w:val="15"/>
                <w:szCs w:val="15"/>
              </w:rPr>
              <w:t>横截面25mm×2mm，最小网格长度为4.8m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restart"/>
            <w:vAlign w:val="center"/>
          </w:tcPr>
          <w:p>
            <w:pPr>
              <w:snapToGrid w:val="0"/>
              <w:rPr>
                <w:color w:val="000000"/>
                <w:sz w:val="18"/>
                <w:szCs w:val="18"/>
              </w:rPr>
            </w:pPr>
            <w:r>
              <w:rPr>
                <w:color w:val="000000"/>
                <w:sz w:val="18"/>
                <w:szCs w:val="18"/>
              </w:rPr>
              <w:t>钢</w:t>
            </w:r>
          </w:p>
        </w:tc>
        <w:tc>
          <w:tcPr>
            <w:tcW w:w="2160" w:type="dxa"/>
            <w:tcBorders>
              <w:bottom w:val="single" w:color="auto" w:sz="2" w:space="0"/>
            </w:tcBorders>
            <w:vAlign w:val="center"/>
          </w:tcPr>
          <w:p>
            <w:pPr>
              <w:snapToGrid w:val="0"/>
              <w:rPr>
                <w:color w:val="000000"/>
                <w:sz w:val="15"/>
                <w:szCs w:val="15"/>
              </w:rPr>
            </w:pPr>
            <w:r>
              <w:rPr>
                <w:color w:val="000000"/>
                <w:sz w:val="15"/>
                <w:szCs w:val="15"/>
              </w:rPr>
              <w:t>镀锌实心圆</w:t>
            </w:r>
            <w:r>
              <w:rPr>
                <w:rFonts w:hint="eastAsia"/>
                <w:color w:val="000000"/>
                <w:sz w:val="15"/>
                <w:szCs w:val="15"/>
                <w:vertAlign w:val="superscript"/>
              </w:rPr>
              <w:t>1)</w:t>
            </w:r>
            <w:r>
              <w:rPr>
                <w:color w:val="000000"/>
                <w:sz w:val="15"/>
                <w:szCs w:val="15"/>
                <w:vertAlign w:val="superscript"/>
              </w:rPr>
              <w:t xml:space="preserve"> </w:t>
            </w:r>
            <w:r>
              <w:rPr>
                <w:rFonts w:hint="eastAsia"/>
                <w:color w:val="000000"/>
                <w:sz w:val="15"/>
                <w:szCs w:val="15"/>
                <w:vertAlign w:val="superscript"/>
              </w:rPr>
              <w:t>,2)</w:t>
            </w:r>
          </w:p>
        </w:tc>
        <w:tc>
          <w:tcPr>
            <w:tcW w:w="900" w:type="dxa"/>
            <w:vMerge w:val="restart"/>
            <w:vAlign w:val="center"/>
          </w:tcPr>
          <w:p>
            <w:pPr>
              <w:snapToGrid w:val="0"/>
              <w:rPr>
                <w:color w:val="000000"/>
                <w:sz w:val="15"/>
                <w:szCs w:val="15"/>
              </w:rPr>
            </w:pPr>
            <w:r>
              <w:rPr>
                <w:color w:val="000000"/>
                <w:sz w:val="15"/>
                <w:szCs w:val="15"/>
              </w:rPr>
              <w:t>16</w:t>
            </w:r>
            <w:r>
              <w:rPr>
                <w:rFonts w:hint="eastAsia"/>
                <w:color w:val="000000"/>
                <w:sz w:val="15"/>
                <w:szCs w:val="15"/>
              </w:rPr>
              <w:t xml:space="preserve"> </w:t>
            </w:r>
            <w:r>
              <w:rPr>
                <w:rFonts w:hint="eastAsia"/>
                <w:color w:val="000000"/>
                <w:sz w:val="15"/>
                <w:szCs w:val="15"/>
                <w:vertAlign w:val="superscript"/>
              </w:rPr>
              <w:t>9)</w:t>
            </w:r>
          </w:p>
          <w:p>
            <w:pPr>
              <w:snapToGrid w:val="0"/>
              <w:rPr>
                <w:color w:val="000000"/>
                <w:sz w:val="15"/>
                <w:szCs w:val="15"/>
              </w:rPr>
            </w:pPr>
            <w:r>
              <w:rPr>
                <w:color w:val="000000"/>
                <w:sz w:val="15"/>
                <w:szCs w:val="15"/>
              </w:rPr>
              <w:t>25</w:t>
            </w:r>
          </w:p>
          <w:p>
            <w:pPr>
              <w:pStyle w:val="2"/>
              <w:rPr>
                <w:color w:val="000000"/>
                <w:sz w:val="15"/>
                <w:szCs w:val="15"/>
              </w:rPr>
            </w:pPr>
          </w:p>
          <w:p>
            <w:pPr>
              <w:pStyle w:val="2"/>
              <w:rPr>
                <w:color w:val="000000"/>
                <w:sz w:val="15"/>
                <w:szCs w:val="15"/>
              </w:rPr>
            </w:pPr>
          </w:p>
          <w:p>
            <w:pPr>
              <w:snapToGrid w:val="0"/>
              <w:rPr>
                <w:color w:val="000000"/>
                <w:sz w:val="15"/>
                <w:szCs w:val="15"/>
              </w:rPr>
            </w:pPr>
            <w:r>
              <w:rPr>
                <w:color w:val="000000"/>
                <w:sz w:val="15"/>
                <w:szCs w:val="15"/>
              </w:rPr>
              <w:t>14</w:t>
            </w:r>
          </w:p>
          <w:p>
            <w:pPr>
              <w:snapToGrid w:val="0"/>
              <w:rPr>
                <w:color w:val="000000"/>
                <w:sz w:val="15"/>
                <w:szCs w:val="15"/>
              </w:rPr>
            </w:pPr>
          </w:p>
          <w:p>
            <w:pPr>
              <w:snapToGrid w:val="0"/>
              <w:rPr>
                <w:color w:val="000000"/>
                <w:sz w:val="15"/>
                <w:szCs w:val="15"/>
              </w:rPr>
            </w:pPr>
          </w:p>
          <w:p>
            <w:pPr>
              <w:snapToGrid w:val="0"/>
              <w:rPr>
                <w:color w:val="000000"/>
                <w:sz w:val="15"/>
                <w:szCs w:val="15"/>
              </w:rPr>
            </w:pPr>
          </w:p>
          <w:p>
            <w:pPr>
              <w:snapToGrid w:val="0"/>
              <w:rPr>
                <w:color w:val="000000"/>
                <w:sz w:val="15"/>
                <w:szCs w:val="15"/>
              </w:rPr>
            </w:pPr>
            <w:r>
              <w:rPr>
                <w:color w:val="000000"/>
                <w:sz w:val="15"/>
                <w:szCs w:val="15"/>
              </w:rPr>
              <w:t>50×50×3</w:t>
            </w:r>
          </w:p>
        </w:tc>
        <w:tc>
          <w:tcPr>
            <w:tcW w:w="1080" w:type="dxa"/>
            <w:vMerge w:val="restart"/>
            <w:vAlign w:val="center"/>
          </w:tcPr>
          <w:p>
            <w:pPr>
              <w:snapToGrid w:val="0"/>
              <w:jc w:val="center"/>
              <w:rPr>
                <w:color w:val="000000"/>
                <w:sz w:val="15"/>
                <w:szCs w:val="15"/>
              </w:rPr>
            </w:pPr>
            <w:r>
              <w:rPr>
                <w:color w:val="000000"/>
                <w:sz w:val="15"/>
                <w:szCs w:val="15"/>
              </w:rPr>
              <w:t>直径10mm</w:t>
            </w:r>
          </w:p>
          <w:p>
            <w:pPr>
              <w:snapToGrid w:val="0"/>
              <w:jc w:val="center"/>
              <w:rPr>
                <w:color w:val="000000"/>
                <w:sz w:val="15"/>
                <w:szCs w:val="15"/>
              </w:rPr>
            </w:pPr>
          </w:p>
          <w:p>
            <w:pPr>
              <w:snapToGrid w:val="0"/>
              <w:jc w:val="center"/>
              <w:rPr>
                <w:color w:val="000000"/>
                <w:sz w:val="15"/>
                <w:szCs w:val="15"/>
              </w:rPr>
            </w:pPr>
          </w:p>
          <w:p>
            <w:pPr>
              <w:snapToGrid w:val="0"/>
              <w:jc w:val="center"/>
              <w:rPr>
                <w:color w:val="000000"/>
                <w:sz w:val="15"/>
                <w:szCs w:val="15"/>
              </w:rPr>
            </w:pPr>
            <w:r>
              <w:rPr>
                <w:color w:val="000000"/>
                <w:sz w:val="15"/>
                <w:szCs w:val="15"/>
              </w:rPr>
              <w:t>90mm</w:t>
            </w:r>
            <w:r>
              <w:rPr>
                <w:rFonts w:hint="eastAsia"/>
                <w:color w:val="000000"/>
                <w:sz w:val="15"/>
                <w:szCs w:val="15"/>
                <w:vertAlign w:val="superscript"/>
              </w:rPr>
              <w:t>2</w:t>
            </w:r>
          </w:p>
          <w:p>
            <w:pPr>
              <w:snapToGrid w:val="0"/>
              <w:jc w:val="center"/>
              <w:rPr>
                <w:color w:val="000000"/>
                <w:sz w:val="15"/>
                <w:szCs w:val="15"/>
              </w:rPr>
            </w:pPr>
          </w:p>
          <w:p>
            <w:pPr>
              <w:snapToGrid w:val="0"/>
              <w:jc w:val="center"/>
              <w:rPr>
                <w:color w:val="000000"/>
                <w:sz w:val="15"/>
                <w:szCs w:val="15"/>
              </w:rPr>
            </w:pPr>
          </w:p>
          <w:p>
            <w:pPr>
              <w:snapToGrid w:val="0"/>
              <w:jc w:val="center"/>
              <w:rPr>
                <w:color w:val="000000"/>
                <w:sz w:val="15"/>
                <w:szCs w:val="15"/>
              </w:rPr>
            </w:pPr>
            <w:r>
              <w:rPr>
                <w:color w:val="000000"/>
                <w:sz w:val="15"/>
                <w:szCs w:val="15"/>
              </w:rPr>
              <w:t>直径10mm</w:t>
            </w:r>
          </w:p>
          <w:p>
            <w:pPr>
              <w:snapToGrid w:val="0"/>
              <w:jc w:val="center"/>
              <w:rPr>
                <w:color w:val="000000"/>
                <w:sz w:val="15"/>
                <w:szCs w:val="15"/>
              </w:rPr>
            </w:pPr>
            <w:r>
              <w:rPr>
                <w:color w:val="000000"/>
                <w:sz w:val="15"/>
                <w:szCs w:val="15"/>
              </w:rPr>
              <w:t>75mm</w:t>
            </w:r>
            <w:r>
              <w:rPr>
                <w:rFonts w:hint="eastAsia"/>
                <w:color w:val="000000"/>
                <w:sz w:val="15"/>
                <w:szCs w:val="15"/>
                <w:vertAlign w:val="superscript"/>
              </w:rPr>
              <w:t>2</w:t>
            </w:r>
          </w:p>
          <w:p>
            <w:pPr>
              <w:snapToGrid w:val="0"/>
              <w:jc w:val="center"/>
              <w:rPr>
                <w:color w:val="000000"/>
                <w:sz w:val="15"/>
                <w:szCs w:val="15"/>
              </w:rPr>
            </w:pPr>
            <w:r>
              <w:rPr>
                <w:color w:val="000000"/>
                <w:sz w:val="15"/>
                <w:szCs w:val="15"/>
              </w:rPr>
              <w:t>70mm</w:t>
            </w:r>
            <w:r>
              <w:rPr>
                <w:rFonts w:hint="eastAsia"/>
                <w:color w:val="000000"/>
                <w:sz w:val="15"/>
                <w:szCs w:val="15"/>
                <w:vertAlign w:val="superscript"/>
              </w:rPr>
              <w:t>2</w:t>
            </w:r>
          </w:p>
        </w:tc>
        <w:tc>
          <w:tcPr>
            <w:tcW w:w="1080" w:type="dxa"/>
            <w:vMerge w:val="restart"/>
            <w:vAlign w:val="center"/>
          </w:tcPr>
          <w:p>
            <w:pPr>
              <w:snapToGrid w:val="0"/>
              <w:rPr>
                <w:color w:val="000000"/>
                <w:sz w:val="15"/>
                <w:szCs w:val="15"/>
              </w:rPr>
            </w:pPr>
            <w:r>
              <w:rPr>
                <w:color w:val="000000"/>
                <w:sz w:val="15"/>
                <w:szCs w:val="15"/>
              </w:rPr>
              <w:t>500×500</w:t>
            </w:r>
          </w:p>
          <w:p>
            <w:pPr>
              <w:snapToGrid w:val="0"/>
              <w:rPr>
                <w:color w:val="000000"/>
                <w:sz w:val="15"/>
                <w:szCs w:val="15"/>
              </w:rPr>
            </w:pPr>
            <w:r>
              <w:rPr>
                <w:color w:val="000000"/>
                <w:sz w:val="15"/>
                <w:szCs w:val="15"/>
              </w:rPr>
              <w:t>600×600</w:t>
            </w:r>
          </w:p>
          <w:p>
            <w:pPr>
              <w:snapToGrid w:val="0"/>
              <w:rPr>
                <w:color w:val="000000"/>
                <w:sz w:val="15"/>
                <w:szCs w:val="15"/>
              </w:rPr>
            </w:pPr>
          </w:p>
        </w:tc>
        <w:tc>
          <w:tcPr>
            <w:tcW w:w="1876" w:type="dxa"/>
            <w:vMerge w:val="restart"/>
            <w:vAlign w:val="center"/>
          </w:tcPr>
          <w:p>
            <w:pPr>
              <w:snapToGrid w:val="0"/>
              <w:rPr>
                <w:color w:val="000000"/>
                <w:sz w:val="15"/>
                <w:szCs w:val="15"/>
              </w:rPr>
            </w:pPr>
            <w:r>
              <w:rPr>
                <w:color w:val="000000"/>
                <w:sz w:val="15"/>
                <w:szCs w:val="15"/>
              </w:rPr>
              <w:t>管壁厚最小2mm</w:t>
            </w:r>
          </w:p>
          <w:p>
            <w:pPr>
              <w:snapToGrid w:val="0"/>
              <w:rPr>
                <w:color w:val="000000"/>
                <w:sz w:val="15"/>
                <w:szCs w:val="15"/>
              </w:rPr>
            </w:pPr>
            <w:r>
              <w:rPr>
                <w:color w:val="000000"/>
                <w:sz w:val="15"/>
                <w:szCs w:val="15"/>
              </w:rPr>
              <w:t>最小厚度3mm</w:t>
            </w:r>
          </w:p>
          <w:p>
            <w:pPr>
              <w:snapToGrid w:val="0"/>
              <w:rPr>
                <w:color w:val="000000"/>
                <w:sz w:val="15"/>
                <w:szCs w:val="15"/>
              </w:rPr>
            </w:pPr>
            <w:r>
              <w:rPr>
                <w:color w:val="000000"/>
                <w:sz w:val="15"/>
                <w:szCs w:val="15"/>
              </w:rPr>
              <w:t>最小厚度3mm</w:t>
            </w:r>
          </w:p>
          <w:p>
            <w:pPr>
              <w:snapToGrid w:val="0"/>
              <w:rPr>
                <w:color w:val="000000"/>
                <w:sz w:val="15"/>
                <w:szCs w:val="15"/>
              </w:rPr>
            </w:pPr>
            <w:r>
              <w:rPr>
                <w:color w:val="000000"/>
                <w:sz w:val="15"/>
                <w:szCs w:val="15"/>
              </w:rPr>
              <w:t>横截面30mm×3mm</w:t>
            </w:r>
          </w:p>
          <w:p>
            <w:pPr>
              <w:snapToGrid w:val="0"/>
              <w:rPr>
                <w:color w:val="000000"/>
                <w:sz w:val="15"/>
                <w:szCs w:val="15"/>
              </w:rPr>
            </w:pPr>
            <w:r>
              <w:rPr>
                <w:color w:val="000000"/>
                <w:sz w:val="15"/>
                <w:szCs w:val="15"/>
              </w:rPr>
              <w:t>99.9％铜涂层半径为250μm</w:t>
            </w:r>
          </w:p>
          <w:p>
            <w:pPr>
              <w:snapToGrid w:val="0"/>
              <w:rPr>
                <w:color w:val="000000"/>
                <w:sz w:val="15"/>
                <w:szCs w:val="15"/>
              </w:rPr>
            </w:pPr>
          </w:p>
          <w:p>
            <w:pPr>
              <w:snapToGrid w:val="0"/>
              <w:rPr>
                <w:color w:val="000000"/>
                <w:sz w:val="15"/>
                <w:szCs w:val="15"/>
              </w:rPr>
            </w:pPr>
          </w:p>
          <w:p>
            <w:pPr>
              <w:snapToGrid w:val="0"/>
              <w:rPr>
                <w:color w:val="000000"/>
                <w:sz w:val="15"/>
                <w:szCs w:val="15"/>
              </w:rPr>
            </w:pPr>
            <w:r>
              <w:rPr>
                <w:color w:val="000000"/>
                <w:sz w:val="15"/>
                <w:szCs w:val="15"/>
              </w:rPr>
              <w:t>最小厚度3mm</w:t>
            </w:r>
          </w:p>
          <w:p>
            <w:pPr>
              <w:snapToGrid w:val="0"/>
              <w:rPr>
                <w:color w:val="000000"/>
                <w:sz w:val="15"/>
                <w:szCs w:val="15"/>
              </w:rPr>
            </w:pPr>
            <w:r>
              <w:rPr>
                <w:rFonts w:hint="eastAsia"/>
                <w:color w:val="000000"/>
                <w:sz w:val="15"/>
                <w:szCs w:val="15"/>
              </w:rPr>
              <w:t>(每股)</w:t>
            </w:r>
            <w:r>
              <w:rPr>
                <w:color w:val="000000"/>
                <w:sz w:val="15"/>
                <w:szCs w:val="15"/>
              </w:rPr>
              <w:t>绞线最小直径1.7mm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镀锌管状</w:t>
            </w:r>
            <w:r>
              <w:rPr>
                <w:rFonts w:hint="eastAsia"/>
                <w:color w:val="000000"/>
                <w:sz w:val="15"/>
                <w:szCs w:val="15"/>
                <w:vertAlign w:val="superscript"/>
              </w:rPr>
              <w:t>1)</w:t>
            </w:r>
            <w:r>
              <w:rPr>
                <w:color w:val="000000"/>
                <w:sz w:val="15"/>
                <w:szCs w:val="15"/>
                <w:vertAlign w:val="superscript"/>
              </w:rPr>
              <w:t xml:space="preserve"> </w:t>
            </w:r>
            <w:r>
              <w:rPr>
                <w:rFonts w:hint="eastAsia"/>
                <w:color w:val="000000"/>
                <w:sz w:val="15"/>
                <w:szCs w:val="15"/>
                <w:vertAlign w:val="superscript"/>
              </w:rPr>
              <w:t>,2)</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镀锌实心带状</w:t>
            </w:r>
            <w:r>
              <w:rPr>
                <w:rFonts w:hint="eastAsia"/>
                <w:color w:val="000000"/>
                <w:sz w:val="15"/>
                <w:szCs w:val="15"/>
                <w:vertAlign w:val="superscript"/>
              </w:rPr>
              <w:t>1)</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镀锌实心板</w:t>
            </w:r>
            <w:r>
              <w:rPr>
                <w:rFonts w:hint="eastAsia"/>
                <w:color w:val="000000"/>
                <w:sz w:val="15"/>
                <w:szCs w:val="15"/>
                <w:vertAlign w:val="superscript"/>
              </w:rPr>
              <w:t>1)</w:t>
            </w:r>
            <w:r>
              <w:rPr>
                <w:color w:val="000000"/>
                <w:sz w:val="15"/>
                <w:szCs w:val="15"/>
                <w:vertAlign w:val="superscript"/>
              </w:rPr>
              <w:t xml:space="preserve"> </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镀锌</w:t>
            </w:r>
            <w:r>
              <w:rPr>
                <w:rFonts w:hint="eastAsia"/>
                <w:color w:val="000000"/>
                <w:sz w:val="15"/>
                <w:szCs w:val="15"/>
              </w:rPr>
              <w:t>格</w:t>
            </w:r>
            <w:r>
              <w:rPr>
                <w:color w:val="000000"/>
                <w:sz w:val="15"/>
                <w:szCs w:val="15"/>
              </w:rPr>
              <w:t>状板</w:t>
            </w:r>
            <w:r>
              <w:rPr>
                <w:rFonts w:hint="eastAsia"/>
                <w:color w:val="000000"/>
                <w:sz w:val="15"/>
                <w:szCs w:val="15"/>
                <w:vertAlign w:val="superscript"/>
              </w:rPr>
              <w:t>1)</w:t>
            </w:r>
            <w:r>
              <w:rPr>
                <w:color w:val="000000"/>
                <w:sz w:val="15"/>
                <w:szCs w:val="15"/>
              </w:rPr>
              <w:t xml:space="preserve"> </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铜涂层实心圆</w:t>
            </w:r>
            <w:r>
              <w:rPr>
                <w:rFonts w:hint="eastAsia"/>
                <w:color w:val="000000"/>
                <w:sz w:val="15"/>
                <w:szCs w:val="15"/>
              </w:rPr>
              <w:t>状</w:t>
            </w:r>
            <w:r>
              <w:rPr>
                <w:rFonts w:hint="eastAsia"/>
                <w:color w:val="000000"/>
                <w:sz w:val="15"/>
                <w:szCs w:val="15"/>
                <w:vertAlign w:val="superscript"/>
              </w:rPr>
              <w:t>4)</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裸露实心圆</w:t>
            </w:r>
            <w:r>
              <w:rPr>
                <w:rFonts w:hint="eastAsia"/>
                <w:color w:val="000000"/>
                <w:sz w:val="15"/>
                <w:szCs w:val="15"/>
              </w:rPr>
              <w:t>状</w:t>
            </w:r>
            <w:r>
              <w:rPr>
                <w:rFonts w:hint="eastAsia"/>
                <w:color w:val="000000"/>
                <w:sz w:val="15"/>
                <w:szCs w:val="15"/>
                <w:vertAlign w:val="superscript"/>
              </w:rPr>
              <w:t>5)</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裸露或镀锌实心带状</w:t>
            </w:r>
            <w:r>
              <w:rPr>
                <w:rFonts w:hint="eastAsia"/>
                <w:color w:val="000000"/>
                <w:sz w:val="15"/>
                <w:szCs w:val="15"/>
                <w:vertAlign w:val="superscript"/>
              </w:rPr>
              <w:t>5)</w:t>
            </w:r>
            <w:r>
              <w:rPr>
                <w:color w:val="000000"/>
                <w:sz w:val="15"/>
                <w:szCs w:val="15"/>
                <w:vertAlign w:val="superscript"/>
              </w:rPr>
              <w:t xml:space="preserve"> </w:t>
            </w:r>
            <w:r>
              <w:rPr>
                <w:rFonts w:hint="eastAsia"/>
                <w:color w:val="000000"/>
                <w:sz w:val="15"/>
                <w:szCs w:val="15"/>
                <w:vertAlign w:val="superscript"/>
              </w:rPr>
              <w:t>,6)</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bottom w:val="single" w:color="auto" w:sz="2" w:space="0"/>
            </w:tcBorders>
            <w:vAlign w:val="center"/>
          </w:tcPr>
          <w:p>
            <w:pPr>
              <w:snapToGrid w:val="0"/>
              <w:rPr>
                <w:color w:val="000000"/>
                <w:sz w:val="15"/>
                <w:szCs w:val="15"/>
              </w:rPr>
            </w:pPr>
            <w:r>
              <w:rPr>
                <w:color w:val="000000"/>
                <w:sz w:val="15"/>
                <w:szCs w:val="15"/>
              </w:rPr>
              <w:t>镀锌绞线</w:t>
            </w:r>
            <w:r>
              <w:rPr>
                <w:rFonts w:hint="eastAsia"/>
                <w:color w:val="000000"/>
                <w:sz w:val="15"/>
                <w:szCs w:val="15"/>
                <w:vertAlign w:val="superscript"/>
              </w:rPr>
              <w:t>5)</w:t>
            </w:r>
            <w:r>
              <w:rPr>
                <w:color w:val="000000"/>
                <w:sz w:val="15"/>
                <w:szCs w:val="15"/>
                <w:vertAlign w:val="superscript"/>
              </w:rPr>
              <w:t xml:space="preserve"> </w:t>
            </w:r>
            <w:r>
              <w:rPr>
                <w:rFonts w:hint="eastAsia"/>
                <w:color w:val="000000"/>
                <w:sz w:val="15"/>
                <w:szCs w:val="15"/>
                <w:vertAlign w:val="superscript"/>
              </w:rPr>
              <w:t>,6)</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538" w:type="dxa"/>
            <w:vMerge w:val="continue"/>
            <w:vAlign w:val="center"/>
          </w:tcPr>
          <w:p>
            <w:pPr>
              <w:snapToGrid w:val="0"/>
              <w:rPr>
                <w:color w:val="000000"/>
                <w:sz w:val="18"/>
                <w:szCs w:val="18"/>
              </w:rPr>
            </w:pPr>
          </w:p>
        </w:tc>
        <w:tc>
          <w:tcPr>
            <w:tcW w:w="2160" w:type="dxa"/>
            <w:tcBorders>
              <w:top w:val="single" w:color="auto" w:sz="2" w:space="0"/>
            </w:tcBorders>
            <w:vAlign w:val="center"/>
          </w:tcPr>
          <w:p>
            <w:pPr>
              <w:snapToGrid w:val="0"/>
              <w:rPr>
                <w:color w:val="000000"/>
                <w:sz w:val="15"/>
                <w:szCs w:val="15"/>
              </w:rPr>
            </w:pPr>
            <w:r>
              <w:rPr>
                <w:color w:val="000000"/>
                <w:sz w:val="15"/>
                <w:szCs w:val="15"/>
              </w:rPr>
              <w:t xml:space="preserve">镀锌截面 </w:t>
            </w:r>
            <w:r>
              <w:rPr>
                <w:rFonts w:hint="eastAsia"/>
                <w:color w:val="000000"/>
                <w:sz w:val="15"/>
                <w:szCs w:val="15"/>
                <w:vertAlign w:val="superscript"/>
              </w:rPr>
              <w:t>1)</w:t>
            </w:r>
            <w:r>
              <w:rPr>
                <w:color w:val="000000"/>
                <w:sz w:val="15"/>
                <w:szCs w:val="15"/>
                <w:vertAlign w:val="superscript"/>
              </w:rPr>
              <w:t xml:space="preserve"> </w:t>
            </w:r>
          </w:p>
        </w:tc>
        <w:tc>
          <w:tcPr>
            <w:tcW w:w="90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080" w:type="dxa"/>
            <w:vMerge w:val="continue"/>
            <w:vAlign w:val="center"/>
          </w:tcPr>
          <w:p>
            <w:pPr>
              <w:snapToGrid w:val="0"/>
              <w:rPr>
                <w:color w:val="000000"/>
                <w:sz w:val="15"/>
                <w:szCs w:val="15"/>
              </w:rPr>
            </w:pPr>
          </w:p>
        </w:tc>
        <w:tc>
          <w:tcPr>
            <w:tcW w:w="1876" w:type="dxa"/>
            <w:vMerge w:val="continue"/>
            <w:vAlign w:val="center"/>
          </w:tcPr>
          <w:p>
            <w:pPr>
              <w:snapToGrid w:val="0"/>
              <w:rPr>
                <w:color w:val="000000"/>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538" w:type="dxa"/>
            <w:vAlign w:val="center"/>
          </w:tcPr>
          <w:p>
            <w:pPr>
              <w:snapToGrid w:val="0"/>
              <w:rPr>
                <w:color w:val="000000"/>
                <w:sz w:val="18"/>
                <w:szCs w:val="18"/>
              </w:rPr>
            </w:pPr>
            <w:r>
              <w:rPr>
                <w:color w:val="000000"/>
                <w:sz w:val="18"/>
                <w:szCs w:val="18"/>
              </w:rPr>
              <w:t>不锈钢</w:t>
            </w:r>
            <w:r>
              <w:rPr>
                <w:rFonts w:hint="eastAsia"/>
                <w:color w:val="000000"/>
                <w:sz w:val="18"/>
                <w:szCs w:val="18"/>
                <w:vertAlign w:val="superscript"/>
              </w:rPr>
              <w:t>7)</w:t>
            </w:r>
            <w:r>
              <w:rPr>
                <w:color w:val="000000"/>
                <w:sz w:val="18"/>
                <w:szCs w:val="18"/>
                <w:vertAlign w:val="superscript"/>
              </w:rPr>
              <w:t xml:space="preserve"> </w:t>
            </w:r>
          </w:p>
        </w:tc>
        <w:tc>
          <w:tcPr>
            <w:tcW w:w="2160" w:type="dxa"/>
            <w:vAlign w:val="center"/>
          </w:tcPr>
          <w:p>
            <w:pPr>
              <w:snapToGrid w:val="0"/>
              <w:rPr>
                <w:color w:val="000000"/>
                <w:sz w:val="15"/>
                <w:szCs w:val="15"/>
              </w:rPr>
            </w:pPr>
            <w:r>
              <w:rPr>
                <w:color w:val="000000"/>
                <w:sz w:val="15"/>
                <w:szCs w:val="15"/>
              </w:rPr>
              <w:t>实心圆</w:t>
            </w:r>
            <w:r>
              <w:rPr>
                <w:rFonts w:hint="eastAsia"/>
                <w:color w:val="000000"/>
                <w:sz w:val="15"/>
                <w:szCs w:val="15"/>
              </w:rPr>
              <w:t>状</w:t>
            </w:r>
          </w:p>
          <w:p>
            <w:pPr>
              <w:snapToGrid w:val="0"/>
              <w:rPr>
                <w:color w:val="000000"/>
                <w:sz w:val="15"/>
                <w:szCs w:val="15"/>
              </w:rPr>
            </w:pPr>
            <w:r>
              <w:rPr>
                <w:color w:val="000000"/>
                <w:sz w:val="15"/>
                <w:szCs w:val="15"/>
              </w:rPr>
              <w:t>实心带状</w:t>
            </w:r>
          </w:p>
        </w:tc>
        <w:tc>
          <w:tcPr>
            <w:tcW w:w="900" w:type="dxa"/>
            <w:vAlign w:val="center"/>
          </w:tcPr>
          <w:p>
            <w:pPr>
              <w:snapToGrid w:val="0"/>
              <w:rPr>
                <w:color w:val="000000"/>
                <w:sz w:val="15"/>
                <w:szCs w:val="15"/>
              </w:rPr>
            </w:pPr>
            <w:r>
              <w:rPr>
                <w:color w:val="000000"/>
                <w:sz w:val="15"/>
                <w:szCs w:val="15"/>
              </w:rPr>
              <w:t>15</w:t>
            </w:r>
          </w:p>
          <w:p>
            <w:pPr>
              <w:pStyle w:val="2"/>
              <w:rPr>
                <w:color w:val="000000"/>
                <w:sz w:val="15"/>
                <w:szCs w:val="15"/>
              </w:rPr>
            </w:pPr>
          </w:p>
        </w:tc>
        <w:tc>
          <w:tcPr>
            <w:tcW w:w="1080" w:type="dxa"/>
            <w:vAlign w:val="center"/>
          </w:tcPr>
          <w:p>
            <w:pPr>
              <w:snapToGrid w:val="0"/>
              <w:jc w:val="center"/>
              <w:rPr>
                <w:color w:val="000000"/>
                <w:sz w:val="15"/>
                <w:szCs w:val="15"/>
              </w:rPr>
            </w:pPr>
            <w:r>
              <w:rPr>
                <w:color w:val="000000"/>
                <w:sz w:val="15"/>
                <w:szCs w:val="15"/>
              </w:rPr>
              <w:t>直径10mm</w:t>
            </w:r>
          </w:p>
          <w:p>
            <w:pPr>
              <w:snapToGrid w:val="0"/>
              <w:jc w:val="center"/>
              <w:rPr>
                <w:color w:val="000000"/>
                <w:sz w:val="15"/>
                <w:szCs w:val="15"/>
              </w:rPr>
            </w:pPr>
            <w:r>
              <w:rPr>
                <w:color w:val="000000"/>
                <w:sz w:val="15"/>
                <w:szCs w:val="15"/>
              </w:rPr>
              <w:t>100mm</w:t>
            </w:r>
            <w:r>
              <w:rPr>
                <w:rFonts w:hint="eastAsia"/>
                <w:color w:val="000000"/>
                <w:sz w:val="15"/>
                <w:szCs w:val="15"/>
                <w:vertAlign w:val="superscript"/>
              </w:rPr>
              <w:t>2</w:t>
            </w:r>
          </w:p>
        </w:tc>
        <w:tc>
          <w:tcPr>
            <w:tcW w:w="1080" w:type="dxa"/>
            <w:vAlign w:val="center"/>
          </w:tcPr>
          <w:p>
            <w:pPr>
              <w:snapToGrid w:val="0"/>
              <w:rPr>
                <w:color w:val="000000"/>
                <w:sz w:val="15"/>
                <w:szCs w:val="15"/>
              </w:rPr>
            </w:pPr>
          </w:p>
        </w:tc>
        <w:tc>
          <w:tcPr>
            <w:tcW w:w="1876" w:type="dxa"/>
            <w:vAlign w:val="center"/>
          </w:tcPr>
          <w:p>
            <w:pPr>
              <w:snapToGrid w:val="0"/>
              <w:rPr>
                <w:color w:val="000000"/>
                <w:sz w:val="15"/>
                <w:szCs w:val="15"/>
              </w:rPr>
            </w:pPr>
            <w:r>
              <w:rPr>
                <w:color w:val="000000"/>
                <w:sz w:val="15"/>
                <w:szCs w:val="15"/>
              </w:rPr>
              <w:t>最小厚度2mm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34" w:type="dxa"/>
            <w:gridSpan w:val="6"/>
            <w:vAlign w:val="center"/>
          </w:tcPr>
          <w:p>
            <w:pPr>
              <w:snapToGrid w:val="0"/>
              <w:rPr>
                <w:color w:val="000000"/>
                <w:sz w:val="18"/>
                <w:szCs w:val="18"/>
              </w:rPr>
            </w:pPr>
            <w:r>
              <w:rPr>
                <w:color w:val="000000"/>
                <w:sz w:val="18"/>
                <w:szCs w:val="18"/>
              </w:rPr>
              <w:t>1</w:t>
            </w:r>
            <w:r>
              <w:rPr>
                <w:rFonts w:hint="eastAsia"/>
                <w:color w:val="000000"/>
                <w:sz w:val="18"/>
                <w:szCs w:val="18"/>
              </w:rPr>
              <w:t>)</w:t>
            </w:r>
            <w:r>
              <w:rPr>
                <w:color w:val="000000"/>
                <w:sz w:val="18"/>
                <w:szCs w:val="18"/>
              </w:rPr>
              <w:t>涂层应光滑</w:t>
            </w:r>
            <w:r>
              <w:rPr>
                <w:rFonts w:hint="eastAsia"/>
                <w:color w:val="000000"/>
                <w:sz w:val="18"/>
                <w:szCs w:val="18"/>
              </w:rPr>
              <w:t>、</w:t>
            </w:r>
            <w:r>
              <w:rPr>
                <w:color w:val="000000"/>
                <w:sz w:val="18"/>
                <w:szCs w:val="18"/>
              </w:rPr>
              <w:t>连续</w:t>
            </w:r>
            <w:r>
              <w:rPr>
                <w:rFonts w:hint="eastAsia"/>
                <w:color w:val="000000"/>
                <w:sz w:val="18"/>
                <w:szCs w:val="18"/>
              </w:rPr>
              <w:t>、</w:t>
            </w:r>
            <w:r>
              <w:rPr>
                <w:color w:val="000000"/>
                <w:sz w:val="18"/>
                <w:szCs w:val="18"/>
              </w:rPr>
              <w:t>有防锈层</w:t>
            </w:r>
            <w:r>
              <w:rPr>
                <w:rFonts w:hint="eastAsia"/>
                <w:color w:val="000000"/>
                <w:sz w:val="18"/>
                <w:szCs w:val="18"/>
              </w:rPr>
              <w:t>。对</w:t>
            </w:r>
            <w:r>
              <w:rPr>
                <w:color w:val="000000"/>
                <w:sz w:val="18"/>
                <w:szCs w:val="18"/>
              </w:rPr>
              <w:t>圆形</w:t>
            </w:r>
            <w:r>
              <w:rPr>
                <w:rFonts w:hint="eastAsia"/>
                <w:color w:val="000000"/>
                <w:sz w:val="18"/>
                <w:szCs w:val="18"/>
              </w:rPr>
              <w:t>材料，防锈层</w:t>
            </w:r>
            <w:r>
              <w:rPr>
                <w:color w:val="000000"/>
                <w:sz w:val="18"/>
                <w:szCs w:val="18"/>
              </w:rPr>
              <w:t>最小厚度</w:t>
            </w:r>
            <w:r>
              <w:rPr>
                <w:rFonts w:hint="eastAsia"/>
                <w:color w:val="000000"/>
                <w:sz w:val="18"/>
                <w:szCs w:val="18"/>
              </w:rPr>
              <w:t>为</w:t>
            </w:r>
            <w:r>
              <w:rPr>
                <w:color w:val="000000"/>
                <w:sz w:val="18"/>
                <w:szCs w:val="18"/>
              </w:rPr>
              <w:t>50μm；</w:t>
            </w:r>
            <w:r>
              <w:rPr>
                <w:rFonts w:hint="eastAsia"/>
                <w:color w:val="000000"/>
                <w:sz w:val="18"/>
                <w:szCs w:val="18"/>
              </w:rPr>
              <w:t>对</w:t>
            </w:r>
            <w:r>
              <w:rPr>
                <w:color w:val="000000"/>
                <w:sz w:val="18"/>
                <w:szCs w:val="18"/>
              </w:rPr>
              <w:t>扁平材料</w:t>
            </w:r>
            <w:r>
              <w:rPr>
                <w:rFonts w:hint="eastAsia"/>
                <w:color w:val="000000"/>
                <w:sz w:val="18"/>
                <w:szCs w:val="18"/>
              </w:rPr>
              <w:t>，防锈层</w:t>
            </w:r>
            <w:r>
              <w:rPr>
                <w:color w:val="000000"/>
                <w:sz w:val="18"/>
                <w:szCs w:val="18"/>
              </w:rPr>
              <w:t>最小厚度</w:t>
            </w:r>
            <w:r>
              <w:rPr>
                <w:rFonts w:hint="eastAsia"/>
                <w:color w:val="000000"/>
                <w:sz w:val="18"/>
                <w:szCs w:val="18"/>
              </w:rPr>
              <w:t>为</w:t>
            </w:r>
            <w:r>
              <w:rPr>
                <w:color w:val="000000"/>
                <w:sz w:val="18"/>
                <w:szCs w:val="18"/>
              </w:rPr>
              <w:t>70μm</w:t>
            </w:r>
            <w:r>
              <w:rPr>
                <w:rFonts w:hint="eastAsia"/>
                <w:color w:val="000000"/>
                <w:sz w:val="18"/>
                <w:szCs w:val="18"/>
              </w:rPr>
              <w:t>。</w:t>
            </w:r>
          </w:p>
          <w:p>
            <w:pPr>
              <w:snapToGrid w:val="0"/>
              <w:rPr>
                <w:color w:val="000000"/>
                <w:sz w:val="18"/>
                <w:szCs w:val="18"/>
              </w:rPr>
            </w:pPr>
            <w:r>
              <w:rPr>
                <w:color w:val="000000"/>
                <w:sz w:val="18"/>
                <w:szCs w:val="18"/>
              </w:rPr>
              <w:t>2</w:t>
            </w:r>
            <w:r>
              <w:rPr>
                <w:rFonts w:hint="eastAsia"/>
                <w:color w:val="000000"/>
                <w:sz w:val="18"/>
                <w:szCs w:val="18"/>
              </w:rPr>
              <w:t>)镀锌前，钢管已进行螺纹机械加工。</w:t>
            </w:r>
          </w:p>
          <w:p>
            <w:pPr>
              <w:snapToGrid w:val="0"/>
              <w:rPr>
                <w:color w:val="000000"/>
                <w:sz w:val="18"/>
                <w:szCs w:val="18"/>
              </w:rPr>
            </w:pPr>
            <w:r>
              <w:rPr>
                <w:color w:val="000000"/>
                <w:sz w:val="18"/>
                <w:szCs w:val="18"/>
              </w:rPr>
              <w:t>3</w:t>
            </w:r>
            <w:r>
              <w:rPr>
                <w:rFonts w:hint="eastAsia"/>
                <w:color w:val="000000"/>
                <w:sz w:val="18"/>
                <w:szCs w:val="18"/>
              </w:rPr>
              <w:t>)</w:t>
            </w:r>
            <w:r>
              <w:rPr>
                <w:color w:val="000000"/>
                <w:sz w:val="18"/>
                <w:szCs w:val="18"/>
              </w:rPr>
              <w:t>也可以镀锡；</w:t>
            </w:r>
          </w:p>
          <w:p>
            <w:pPr>
              <w:snapToGrid w:val="0"/>
              <w:rPr>
                <w:color w:val="000000"/>
                <w:sz w:val="18"/>
                <w:szCs w:val="18"/>
              </w:rPr>
            </w:pPr>
            <w:r>
              <w:rPr>
                <w:color w:val="000000"/>
                <w:sz w:val="18"/>
                <w:szCs w:val="18"/>
              </w:rPr>
              <w:t>4</w:t>
            </w:r>
            <w:r>
              <w:rPr>
                <w:rFonts w:hint="eastAsia"/>
                <w:color w:val="000000"/>
                <w:sz w:val="18"/>
                <w:szCs w:val="18"/>
              </w:rPr>
              <w:t>)</w:t>
            </w:r>
            <w:r>
              <w:rPr>
                <w:color w:val="000000"/>
                <w:sz w:val="18"/>
                <w:szCs w:val="18"/>
              </w:rPr>
              <w:t>铜涂层应与钢良好连接；</w:t>
            </w:r>
          </w:p>
          <w:p>
            <w:pPr>
              <w:snapToGrid w:val="0"/>
              <w:rPr>
                <w:color w:val="000000"/>
                <w:sz w:val="18"/>
                <w:szCs w:val="18"/>
              </w:rPr>
            </w:pPr>
            <w:r>
              <w:rPr>
                <w:color w:val="000000"/>
                <w:sz w:val="18"/>
                <w:szCs w:val="18"/>
              </w:rPr>
              <w:t>5</w:t>
            </w:r>
            <w:r>
              <w:rPr>
                <w:rFonts w:hint="eastAsia"/>
                <w:color w:val="000000"/>
                <w:sz w:val="18"/>
                <w:szCs w:val="18"/>
              </w:rPr>
              <w:t>)</w:t>
            </w:r>
            <w:r>
              <w:rPr>
                <w:color w:val="000000"/>
                <w:sz w:val="18"/>
                <w:szCs w:val="18"/>
              </w:rPr>
              <w:t>仅适用于完全埋入混凝土的情况。</w:t>
            </w:r>
          </w:p>
          <w:p>
            <w:pPr>
              <w:snapToGrid w:val="0"/>
              <w:rPr>
                <w:color w:val="000000"/>
                <w:sz w:val="18"/>
                <w:szCs w:val="18"/>
              </w:rPr>
            </w:pPr>
            <w:r>
              <w:rPr>
                <w:color w:val="000000"/>
                <w:sz w:val="18"/>
                <w:szCs w:val="18"/>
              </w:rPr>
              <w:t>6</w:t>
            </w:r>
            <w:r>
              <w:rPr>
                <w:rFonts w:hint="eastAsia"/>
                <w:color w:val="000000"/>
                <w:sz w:val="18"/>
                <w:szCs w:val="18"/>
              </w:rPr>
              <w:t>)</w:t>
            </w:r>
            <w:r>
              <w:rPr>
                <w:color w:val="000000"/>
                <w:sz w:val="18"/>
                <w:szCs w:val="18"/>
              </w:rPr>
              <w:t>仅适用于当地基中自然钢结构至少每5m进行正确连接的情况；</w:t>
            </w:r>
          </w:p>
          <w:p>
            <w:pPr>
              <w:snapToGrid w:val="0"/>
              <w:rPr>
                <w:color w:val="000000"/>
                <w:sz w:val="18"/>
                <w:szCs w:val="18"/>
              </w:rPr>
            </w:pPr>
            <w:r>
              <w:rPr>
                <w:color w:val="000000"/>
                <w:sz w:val="18"/>
                <w:szCs w:val="18"/>
              </w:rPr>
              <w:t>7</w:t>
            </w:r>
            <w:r>
              <w:rPr>
                <w:rFonts w:hint="eastAsia"/>
                <w:color w:val="000000"/>
                <w:sz w:val="18"/>
                <w:szCs w:val="18"/>
              </w:rPr>
              <w:t>)</w:t>
            </w:r>
            <w:r>
              <w:rPr>
                <w:color w:val="000000"/>
                <w:sz w:val="18"/>
                <w:szCs w:val="18"/>
              </w:rPr>
              <w:t>铬≥16%，镍≥5%，钼≥2%，炭≥0.08%</w:t>
            </w:r>
            <w:r>
              <w:rPr>
                <w:rFonts w:hint="eastAsia"/>
                <w:color w:val="000000"/>
                <w:sz w:val="18"/>
                <w:szCs w:val="18"/>
              </w:rPr>
              <w:t>。</w:t>
            </w:r>
          </w:p>
        </w:tc>
      </w:tr>
    </w:tbl>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第5.6.2条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连接排之间、连接排和接地装置之间连接导线的最小截面积分别是什么？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2382"/>
        <w:gridCol w:w="2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382" w:type="dxa"/>
            <w:vAlign w:val="center"/>
          </w:tcPr>
          <w:p>
            <w:pPr>
              <w:pStyle w:val="9"/>
              <w:jc w:val="center"/>
              <w:rPr>
                <w:color w:val="000000"/>
              </w:rPr>
            </w:pPr>
            <w:r>
              <w:rPr>
                <w:color w:val="000000"/>
              </w:rPr>
              <w:t>LPS类型</w:t>
            </w:r>
          </w:p>
        </w:tc>
        <w:tc>
          <w:tcPr>
            <w:tcW w:w="2382" w:type="dxa"/>
            <w:vAlign w:val="center"/>
          </w:tcPr>
          <w:p>
            <w:pPr>
              <w:pStyle w:val="9"/>
              <w:jc w:val="center"/>
              <w:rPr>
                <w:color w:val="000000"/>
              </w:rPr>
            </w:pPr>
            <w:r>
              <w:rPr>
                <w:color w:val="000000"/>
              </w:rPr>
              <w:t>材料</w:t>
            </w:r>
          </w:p>
        </w:tc>
        <w:tc>
          <w:tcPr>
            <w:tcW w:w="2383" w:type="dxa"/>
            <w:vAlign w:val="center"/>
          </w:tcPr>
          <w:p>
            <w:pPr>
              <w:pStyle w:val="9"/>
              <w:jc w:val="center"/>
              <w:rPr>
                <w:color w:val="000000"/>
              </w:rPr>
            </w:pPr>
            <w:r>
              <w:rPr>
                <w:color w:val="000000"/>
              </w:rPr>
              <w:t>截面积（mm</w:t>
            </w:r>
            <w:r>
              <w:rPr>
                <w:color w:val="000000"/>
                <w:szCs w:val="18"/>
                <w:vertAlign w:val="superscript"/>
              </w:rPr>
              <w:t>2</w:t>
            </w: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82" w:type="dxa"/>
            <w:vMerge w:val="restart"/>
            <w:vAlign w:val="center"/>
          </w:tcPr>
          <w:p>
            <w:pPr>
              <w:pStyle w:val="9"/>
              <w:jc w:val="center"/>
              <w:rPr>
                <w:color w:val="000000"/>
              </w:rPr>
            </w:pPr>
            <w:r>
              <w:rPr>
                <w:color w:val="000000"/>
              </w:rPr>
              <w:t>I－IV</w:t>
            </w:r>
          </w:p>
        </w:tc>
        <w:tc>
          <w:tcPr>
            <w:tcW w:w="2382" w:type="dxa"/>
            <w:vAlign w:val="center"/>
          </w:tcPr>
          <w:p>
            <w:pPr>
              <w:pStyle w:val="9"/>
              <w:jc w:val="center"/>
              <w:rPr>
                <w:color w:val="000000"/>
              </w:rPr>
            </w:pPr>
            <w:r>
              <w:rPr>
                <w:color w:val="000000"/>
              </w:rPr>
              <w:t>铜</w:t>
            </w:r>
          </w:p>
        </w:tc>
        <w:tc>
          <w:tcPr>
            <w:tcW w:w="2383" w:type="dxa"/>
            <w:vAlign w:val="center"/>
          </w:tcPr>
          <w:p>
            <w:pPr>
              <w:pStyle w:val="9"/>
              <w:jc w:val="center"/>
              <w:rPr>
                <w:color w:val="000000"/>
              </w:rPr>
            </w:pPr>
            <w:r>
              <w:rPr>
                <w:color w:val="00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82" w:type="dxa"/>
            <w:vMerge w:val="continue"/>
            <w:vAlign w:val="center"/>
          </w:tcPr>
          <w:p>
            <w:pPr>
              <w:pStyle w:val="9"/>
              <w:jc w:val="center"/>
              <w:rPr>
                <w:color w:val="000000"/>
              </w:rPr>
            </w:pPr>
          </w:p>
        </w:tc>
        <w:tc>
          <w:tcPr>
            <w:tcW w:w="2382" w:type="dxa"/>
            <w:vAlign w:val="center"/>
          </w:tcPr>
          <w:p>
            <w:pPr>
              <w:pStyle w:val="9"/>
              <w:jc w:val="center"/>
              <w:rPr>
                <w:color w:val="000000"/>
              </w:rPr>
            </w:pPr>
            <w:r>
              <w:rPr>
                <w:color w:val="000000"/>
              </w:rPr>
              <w:t>铝</w:t>
            </w:r>
          </w:p>
        </w:tc>
        <w:tc>
          <w:tcPr>
            <w:tcW w:w="2383" w:type="dxa"/>
            <w:vAlign w:val="center"/>
          </w:tcPr>
          <w:p>
            <w:pPr>
              <w:pStyle w:val="9"/>
              <w:jc w:val="center"/>
              <w:rPr>
                <w:color w:val="000000"/>
              </w:rPr>
            </w:pPr>
            <w:r>
              <w:rPr>
                <w:color w:val="00000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82" w:type="dxa"/>
            <w:vMerge w:val="continue"/>
            <w:vAlign w:val="center"/>
          </w:tcPr>
          <w:p>
            <w:pPr>
              <w:pStyle w:val="9"/>
              <w:jc w:val="center"/>
              <w:rPr>
                <w:color w:val="000000"/>
              </w:rPr>
            </w:pPr>
          </w:p>
        </w:tc>
        <w:tc>
          <w:tcPr>
            <w:tcW w:w="2382" w:type="dxa"/>
            <w:vAlign w:val="center"/>
          </w:tcPr>
          <w:p>
            <w:pPr>
              <w:pStyle w:val="9"/>
              <w:jc w:val="center"/>
              <w:rPr>
                <w:color w:val="000000"/>
              </w:rPr>
            </w:pPr>
            <w:r>
              <w:rPr>
                <w:color w:val="000000"/>
              </w:rPr>
              <w:t>钢</w:t>
            </w:r>
          </w:p>
        </w:tc>
        <w:tc>
          <w:tcPr>
            <w:tcW w:w="2383" w:type="dxa"/>
            <w:vAlign w:val="center"/>
          </w:tcPr>
          <w:p>
            <w:pPr>
              <w:pStyle w:val="9"/>
              <w:jc w:val="center"/>
              <w:rPr>
                <w:color w:val="000000"/>
              </w:rPr>
            </w:pPr>
            <w:r>
              <w:rPr>
                <w:color w:val="000000"/>
              </w:rPr>
              <w:t>50</w:t>
            </w:r>
          </w:p>
        </w:tc>
      </w:tr>
    </w:tbl>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第6.2.2条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内部金属装置和连接排之间连接导线的最小截面积分别是什么？</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7"/>
        <w:gridCol w:w="2377"/>
        <w:gridCol w:w="2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377" w:type="dxa"/>
            <w:vAlign w:val="center"/>
          </w:tcPr>
          <w:p>
            <w:pPr>
              <w:pStyle w:val="9"/>
              <w:jc w:val="center"/>
              <w:rPr>
                <w:color w:val="000000"/>
              </w:rPr>
            </w:pPr>
            <w:r>
              <w:rPr>
                <w:color w:val="000000"/>
              </w:rPr>
              <w:t>LPS类型</w:t>
            </w:r>
          </w:p>
        </w:tc>
        <w:tc>
          <w:tcPr>
            <w:tcW w:w="2377" w:type="dxa"/>
            <w:vAlign w:val="center"/>
          </w:tcPr>
          <w:p>
            <w:pPr>
              <w:pStyle w:val="9"/>
              <w:jc w:val="center"/>
              <w:rPr>
                <w:color w:val="000000"/>
              </w:rPr>
            </w:pPr>
            <w:r>
              <w:rPr>
                <w:color w:val="000000"/>
              </w:rPr>
              <w:t>材料</w:t>
            </w:r>
          </w:p>
        </w:tc>
        <w:tc>
          <w:tcPr>
            <w:tcW w:w="2378" w:type="dxa"/>
            <w:vAlign w:val="center"/>
          </w:tcPr>
          <w:p>
            <w:pPr>
              <w:pStyle w:val="9"/>
              <w:jc w:val="center"/>
              <w:rPr>
                <w:color w:val="000000"/>
              </w:rPr>
            </w:pPr>
            <w:r>
              <w:rPr>
                <w:color w:val="000000"/>
              </w:rPr>
              <w:t>截面积（mm</w:t>
            </w:r>
            <w:r>
              <w:rPr>
                <w:color w:val="000000"/>
                <w:szCs w:val="18"/>
                <w:vertAlign w:val="superscript"/>
              </w:rPr>
              <w:t>2</w:t>
            </w: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77" w:type="dxa"/>
            <w:vMerge w:val="restart"/>
            <w:vAlign w:val="center"/>
          </w:tcPr>
          <w:p>
            <w:pPr>
              <w:pStyle w:val="9"/>
              <w:jc w:val="center"/>
              <w:rPr>
                <w:color w:val="000000"/>
              </w:rPr>
            </w:pPr>
            <w:r>
              <w:rPr>
                <w:color w:val="000000"/>
              </w:rPr>
              <w:t>I－IV</w:t>
            </w:r>
          </w:p>
        </w:tc>
        <w:tc>
          <w:tcPr>
            <w:tcW w:w="2377" w:type="dxa"/>
            <w:vAlign w:val="center"/>
          </w:tcPr>
          <w:p>
            <w:pPr>
              <w:pStyle w:val="9"/>
              <w:jc w:val="center"/>
              <w:rPr>
                <w:color w:val="000000"/>
              </w:rPr>
            </w:pPr>
            <w:r>
              <w:rPr>
                <w:color w:val="000000"/>
              </w:rPr>
              <w:t>铜</w:t>
            </w:r>
          </w:p>
        </w:tc>
        <w:tc>
          <w:tcPr>
            <w:tcW w:w="2378" w:type="dxa"/>
            <w:vAlign w:val="center"/>
          </w:tcPr>
          <w:p>
            <w:pPr>
              <w:pStyle w:val="9"/>
              <w:jc w:val="center"/>
              <w:rPr>
                <w:color w:val="000000"/>
              </w:rPr>
            </w:pPr>
            <w:r>
              <w:rPr>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77" w:type="dxa"/>
            <w:vMerge w:val="continue"/>
            <w:vAlign w:val="center"/>
          </w:tcPr>
          <w:p>
            <w:pPr>
              <w:pStyle w:val="9"/>
              <w:jc w:val="center"/>
              <w:rPr>
                <w:color w:val="000000"/>
              </w:rPr>
            </w:pPr>
          </w:p>
        </w:tc>
        <w:tc>
          <w:tcPr>
            <w:tcW w:w="2377" w:type="dxa"/>
            <w:vAlign w:val="center"/>
          </w:tcPr>
          <w:p>
            <w:pPr>
              <w:pStyle w:val="9"/>
              <w:jc w:val="center"/>
              <w:rPr>
                <w:color w:val="000000"/>
              </w:rPr>
            </w:pPr>
            <w:r>
              <w:rPr>
                <w:color w:val="000000"/>
              </w:rPr>
              <w:t>铝</w:t>
            </w:r>
          </w:p>
        </w:tc>
        <w:tc>
          <w:tcPr>
            <w:tcW w:w="2378" w:type="dxa"/>
            <w:vAlign w:val="center"/>
          </w:tcPr>
          <w:p>
            <w:pPr>
              <w:pStyle w:val="9"/>
              <w:jc w:val="center"/>
              <w:rPr>
                <w:color w:val="000000"/>
              </w:rPr>
            </w:pP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377" w:type="dxa"/>
            <w:vMerge w:val="continue"/>
            <w:vAlign w:val="center"/>
          </w:tcPr>
          <w:p>
            <w:pPr>
              <w:pStyle w:val="9"/>
              <w:jc w:val="center"/>
              <w:rPr>
                <w:color w:val="000000"/>
              </w:rPr>
            </w:pPr>
          </w:p>
        </w:tc>
        <w:tc>
          <w:tcPr>
            <w:tcW w:w="2377" w:type="dxa"/>
            <w:vAlign w:val="center"/>
          </w:tcPr>
          <w:p>
            <w:pPr>
              <w:pStyle w:val="9"/>
              <w:jc w:val="center"/>
              <w:rPr>
                <w:color w:val="000000"/>
              </w:rPr>
            </w:pPr>
            <w:r>
              <w:rPr>
                <w:color w:val="000000"/>
              </w:rPr>
              <w:t>钢</w:t>
            </w:r>
          </w:p>
        </w:tc>
        <w:tc>
          <w:tcPr>
            <w:tcW w:w="2378" w:type="dxa"/>
            <w:vAlign w:val="center"/>
          </w:tcPr>
          <w:p>
            <w:pPr>
              <w:pStyle w:val="9"/>
              <w:jc w:val="center"/>
              <w:rPr>
                <w:color w:val="000000"/>
              </w:rPr>
            </w:pPr>
            <w:r>
              <w:rPr>
                <w:color w:val="000000"/>
              </w:rPr>
              <w:t>16</w:t>
            </w:r>
          </w:p>
        </w:tc>
      </w:tr>
    </w:tbl>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第6.2.2条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外部导电部件的等电位连接的一般要求是什么？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1）对外部导电部件，等电位连接应尽可能在靠近建筑物入口位置实施。</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2）连接导线应能承受流经的部分雷电流I</w:t>
      </w:r>
      <w:r>
        <w:rPr>
          <w:rFonts w:hint="eastAsia" w:ascii="Times New Roman" w:hAnsi="Times New Roman"/>
          <w:color w:val="000000"/>
          <w:kern w:val="0"/>
          <w:sz w:val="24"/>
          <w:szCs w:val="24"/>
          <w:vertAlign w:val="subscript"/>
        </w:rPr>
        <w:t>f</w:t>
      </w:r>
      <w:r>
        <w:rPr>
          <w:rFonts w:hint="eastAsia" w:ascii="Times New Roman" w:hAnsi="Times New Roman"/>
          <w:color w:val="000000"/>
          <w:kern w:val="0"/>
          <w:sz w:val="24"/>
          <w:szCs w:val="24"/>
        </w:rPr>
        <w:t>(电流大小按GB/T21714.1－2015附录E计算)。</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3）如果不允许直接连接，则使用以下特征的SPD。</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——I类测试；</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——I</w:t>
      </w:r>
      <w:r>
        <w:rPr>
          <w:rFonts w:hint="eastAsia" w:ascii="Times New Roman" w:hAnsi="Times New Roman"/>
          <w:color w:val="000000"/>
          <w:kern w:val="0"/>
          <w:sz w:val="24"/>
          <w:szCs w:val="24"/>
          <w:vertAlign w:val="subscript"/>
        </w:rPr>
        <w:t>imp</w:t>
      </w:r>
      <w:r>
        <w:rPr>
          <w:rFonts w:hint="eastAsia" w:ascii="Times New Roman" w:hAnsi="Times New Roman"/>
          <w:color w:val="000000"/>
          <w:kern w:val="0"/>
          <w:sz w:val="24"/>
          <w:szCs w:val="24"/>
        </w:rPr>
        <w:t>≥I</w:t>
      </w:r>
      <w:r>
        <w:rPr>
          <w:rFonts w:hint="eastAsia" w:ascii="Times New Roman" w:hAnsi="Times New Roman"/>
          <w:color w:val="000000"/>
          <w:kern w:val="0"/>
          <w:sz w:val="24"/>
          <w:szCs w:val="24"/>
          <w:vertAlign w:val="subscript"/>
        </w:rPr>
        <w:t>f</w:t>
      </w:r>
      <w:r>
        <w:rPr>
          <w:rFonts w:hint="eastAsia" w:ascii="Times New Roman" w:hAnsi="Times New Roman"/>
          <w:color w:val="000000"/>
          <w:kern w:val="0"/>
          <w:sz w:val="24"/>
          <w:szCs w:val="24"/>
        </w:rPr>
        <w:t>，I</w:t>
      </w:r>
      <w:r>
        <w:rPr>
          <w:rFonts w:hint="eastAsia" w:ascii="Times New Roman" w:hAnsi="Times New Roman"/>
          <w:color w:val="000000"/>
          <w:kern w:val="0"/>
          <w:sz w:val="24"/>
          <w:szCs w:val="24"/>
          <w:vertAlign w:val="subscript"/>
        </w:rPr>
        <w:t>f</w:t>
      </w:r>
      <w:r>
        <w:rPr>
          <w:rFonts w:hint="eastAsia" w:ascii="Times New Roman" w:hAnsi="Times New Roman"/>
          <w:color w:val="000000"/>
          <w:kern w:val="0"/>
          <w:sz w:val="24"/>
          <w:szCs w:val="24"/>
        </w:rPr>
        <w:t>为流经外部导电部件的雷电流（见GB/T21714.1－2015附录E）；</w:t>
      </w:r>
    </w:p>
    <w:p>
      <w:pPr>
        <w:pStyle w:val="8"/>
        <w:spacing w:line="400" w:lineRule="exact"/>
        <w:ind w:left="400" w:firstLine="0" w:firstLineChars="0"/>
        <w:jc w:val="left"/>
        <w:rPr>
          <w:rFonts w:ascii="Times New Roman" w:hAnsi="Times New Roman"/>
          <w:color w:val="000000"/>
          <w:kern w:val="0"/>
          <w:sz w:val="24"/>
          <w:szCs w:val="24"/>
        </w:rPr>
      </w:pPr>
      <w:r>
        <w:rPr>
          <w:rFonts w:hint="eastAsia" w:ascii="Times New Roman" w:hAnsi="Times New Roman"/>
          <w:color w:val="000000"/>
          <w:kern w:val="0"/>
          <w:sz w:val="24"/>
          <w:szCs w:val="24"/>
        </w:rPr>
        <w:t>——额定冲击点火电压低于部件间绝缘的冲击耐受水平。</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第6.2.3条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内部系统的雷电等电位连接的一般要求是什么？</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1）如果内部系统的导线有屏蔽层，或布放在金属管道内，则只需与屏蔽层和管道进行连接；</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2）如果内部系统的导线没有屏蔽层也没放在金属管道内，则必须通过SPD连接。在TN系统中，PE和PEN导线应直接连接到LPS或通过SPD连接到LPS。</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第6.2.3条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外部LPS的电气绝缘的一般要求是什么？</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当线路或外部导电部件与建筑物连接时，必须保证在建筑物入口处进行等电位连接（直接相连或通过SPD相连）。金属材料的建筑物或建筑物的混凝土框架电气连续、互联时，则不需考虑隔距要求。</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第6.3条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跨步电压的防护措施是什么？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1）某些情况下，即使LPS的设计和施工符合上述要求，在建筑物外面、邻近LPS引下线附近区域还是可能会对人身产生危害。</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2）采取下列任一措施，可将危害降低到可以容许的程度：a)引下线3m以内区域，人接近的概率很低且在危险区内停留的时间很短；b)引下线3m以内区域，土壤表层的电阻率不小于5 kΩ•m。</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3）一般来说，5cm厚的沥青（或15cm厚的砂砾）绝缘材料，可以满足这一要求。</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4）如果以上条件均不能满足，则可采取以下措施：a)用网状接地装置实现等电位； b)引下线附近3m范围内，给出物理限制和/或警告指示，减少接近危险区域的概率。</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5）所有防护措施应符合有关标准。</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第8.2条</w:t>
      </w:r>
    </w:p>
    <w:p>
      <w:pPr>
        <w:pStyle w:val="8"/>
        <w:spacing w:line="400" w:lineRule="exact"/>
        <w:ind w:firstLine="48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采用滚球法时接闪器的定位要求是什么？</w:t>
      </w:r>
    </w:p>
    <w:p>
      <w:pPr>
        <w:pStyle w:val="5"/>
        <w:spacing w:before="0" w:beforeAutospacing="0" w:after="0" w:afterAutospacing="0" w:line="400" w:lineRule="exact"/>
        <w:ind w:firstLine="240" w:firstLineChars="100"/>
        <w:rPr>
          <w:rFonts w:ascii="Times New Roman" w:hAnsi="Times New Roman"/>
          <w:color w:val="000000"/>
        </w:rPr>
      </w:pPr>
      <w:r>
        <w:rPr>
          <w:rFonts w:hint="eastAsia" w:ascii="Times New Roman" w:hAnsi="Times New Roman"/>
          <w:color w:val="000000"/>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采用滚球法时，如果受保护建筑物上任何一点都不与半径为r的球体球面区域相接触，则可认为接闪器的位置是合适的。半径r的大小取决于LPS类型，球在建筑物周围及顶部的所有方向滚动。此时球面仅与接闪器接触。对高度大于滚球半径r的所有建筑物，侧面可能会遭受闪击。侧面上，用滚球法可以接触到的每一点都可能是雷击点。但对低于60m的建筑物，通常可忽略侧面闪击。对比较高的建筑物，大部分雷闪将击中建筑物顶部、水平边缘以及建筑物的角。只有少部分雷闪会击中侧面。此外，在高层建筑物内，随着与地面高差降低，其遭受侧面闪击的概率显著减少。因而应考虑高层建筑物的上部（一般在建筑物高度的20％处）安装侧面接闪器系统。此时，仅在建筑物上部，采用滚球法进行接闪器的定位。</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21714.3-2015</w:t>
      </w:r>
      <w:r>
        <w:rPr>
          <w:rFonts w:hint="eastAsia" w:ascii="Times New Roman" w:hAnsi="Times New Roman" w:cs="Times New Roman"/>
          <w:color w:val="000000"/>
        </w:rPr>
        <w:t>《雷电防护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第A.2条</w:t>
      </w:r>
    </w:p>
    <w:p>
      <w:pPr>
        <w:pStyle w:val="8"/>
        <w:spacing w:line="400" w:lineRule="exact"/>
        <w:ind w:left="400" w:firstLine="0" w:firstLineChars="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采用网格法时接闪器的定位要求是什么？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对满足以下所有条件的扁平建筑物，整个表面的保护可采用网格法：接闪器导体处于屋顶屋檐处；屋顶悬垂处；当屋顶坡度超过1/10时，接闪器导体位于屋顶屋脊处。（如果屋顶坡度超过1/10，可用平行的避雷线代替网格。此时，使避雷线间的间隔不大于网格所要求的宽度）。</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2）接闪器网络的尺寸不大于给定值；</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3）接闪器网络应使雷电流至少通过两条金属路径到接地装置；</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4）接闪器保护空间外部没有任何突出的金属装置；</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5）接闪器导线应尽可能短且尽可能走直线。</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21714.3-2015</w:t>
      </w:r>
      <w:r>
        <w:rPr>
          <w:rFonts w:hint="eastAsia" w:ascii="Times New Roman" w:hAnsi="Times New Roman" w:cs="Times New Roman"/>
          <w:color w:val="000000"/>
        </w:rPr>
        <w:t>《雷电防护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第A.3条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进线电缆屏蔽层为防止火花所要求的最小截面积计算方法是什么？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由于屏蔽层携带雷电流，带电导体与电缆屏蔽层间的过电压可能会引起危险火花。过电压与屏蔽层的材料及尺寸、电缆的长度与位置相关。</w:t>
      </w:r>
    </w:p>
    <w:p>
      <w:pPr>
        <w:adjustRightInd w:val="0"/>
        <w:snapToGrid w:val="0"/>
        <w:spacing w:line="360" w:lineRule="auto"/>
        <w:ind w:right="360"/>
        <w:jc w:val="right"/>
        <w:rPr>
          <w:rFonts w:ascii="Times New Roman" w:hAnsi="Times New Roman" w:eastAsia="宋体" w:cs="Times New Roman"/>
          <w:color w:val="000000"/>
          <w:sz w:val="21"/>
          <w:szCs w:val="24"/>
        </w:rPr>
      </w:pPr>
      <w:r>
        <w:rPr>
          <w:rFonts w:hint="eastAsia" w:ascii="Times New Roman" w:hAnsi="Times New Roman" w:eastAsia="宋体" w:cs="宋体"/>
          <w:color w:val="000000"/>
          <w:kern w:val="0"/>
          <w:sz w:val="24"/>
          <w:szCs w:val="24"/>
        </w:rPr>
        <w:t>为避免火花，屏蔽层的最小截面积</w:t>
      </w:r>
      <w:r>
        <w:rPr>
          <w:rFonts w:hint="eastAsia" w:ascii="Times New Roman" w:hAnsi="Times New Roman"/>
          <w:color w:val="000000"/>
          <w:kern w:val="0"/>
          <w:sz w:val="24"/>
          <w:szCs w:val="24"/>
        </w:rPr>
        <w:t>S</w:t>
      </w:r>
      <w:r>
        <w:rPr>
          <w:rFonts w:hint="eastAsia" w:ascii="Times New Roman" w:hAnsi="Times New Roman"/>
          <w:color w:val="000000"/>
          <w:kern w:val="0"/>
          <w:sz w:val="24"/>
          <w:szCs w:val="24"/>
          <w:vertAlign w:val="subscript"/>
        </w:rPr>
        <w:t>cmin</w:t>
      </w:r>
      <w:r>
        <w:rPr>
          <w:rFonts w:hint="eastAsia" w:ascii="Times New Roman" w:hAnsi="Times New Roman"/>
          <w:color w:val="000000"/>
          <w:kern w:val="0"/>
          <w:sz w:val="24"/>
          <w:szCs w:val="24"/>
        </w:rPr>
        <w:t>(mm</w:t>
      </w:r>
      <w:r>
        <w:rPr>
          <w:rFonts w:hint="eastAsia" w:ascii="Times New Roman" w:hAnsi="Times New Roman"/>
          <w:color w:val="000000"/>
          <w:kern w:val="0"/>
          <w:sz w:val="24"/>
          <w:szCs w:val="24"/>
          <w:vertAlign w:val="superscript"/>
        </w:rPr>
        <w:t>2</w:t>
      </w:r>
      <w:r>
        <w:rPr>
          <w:rFonts w:hint="eastAsia" w:ascii="Times New Roman" w:hAnsi="Times New Roman"/>
          <w:color w:val="000000"/>
          <w:kern w:val="0"/>
          <w:sz w:val="24"/>
          <w:szCs w:val="24"/>
        </w:rPr>
        <w:t>)为：</w:t>
      </w:r>
      <w:r>
        <w:rPr>
          <w:rFonts w:ascii="Times New Roman" w:hAnsi="Times New Roman" w:eastAsia="宋体" w:cs="Times New Roman"/>
          <w:color w:val="000000"/>
          <w:position w:val="-30"/>
          <w:sz w:val="21"/>
          <w:szCs w:val="24"/>
        </w:rPr>
        <w:object>
          <v:shape id="_x0000_i1025" o:spt="75" type="#_x0000_t75" style="height:37.5pt;width:150pt;" o:ole="t" fillcolor="#000011"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Times New Roman" w:hAnsi="Times New Roman" w:eastAsia="宋体" w:cs="Times New Roman"/>
          <w:color w:val="000000"/>
          <w:sz w:val="21"/>
          <w:szCs w:val="24"/>
        </w:rPr>
        <w:t>　</w:t>
      </w:r>
    </w:p>
    <w:p>
      <w:pPr>
        <w:autoSpaceDE w:val="0"/>
        <w:autoSpaceDN w:val="0"/>
        <w:ind w:firstLine="420" w:firstLineChars="200"/>
        <w:rPr>
          <w:rFonts w:ascii="Times New Roman" w:hAnsi="Times New Roman" w:eastAsia="宋体" w:cs="Times New Roman"/>
          <w:color w:val="000000"/>
          <w:sz w:val="21"/>
        </w:rPr>
      </w:pPr>
      <w:r>
        <w:rPr>
          <w:rFonts w:ascii="Times New Roman" w:hAnsi="Times New Roman" w:eastAsia="宋体" w:cs="Times New Roman"/>
          <w:color w:val="000000"/>
          <w:sz w:val="21"/>
        </w:rPr>
        <w:t>其中</w:t>
      </w:r>
      <w:r>
        <w:rPr>
          <w:rFonts w:hint="eastAsia" w:ascii="Times New Roman" w:hAnsi="Times New Roman" w:eastAsia="宋体" w:cs="Times New Roman"/>
          <w:color w:val="000000"/>
          <w:sz w:val="21"/>
        </w:rPr>
        <w:t>：</w:t>
      </w:r>
      <w:r>
        <w:rPr>
          <w:rFonts w:ascii="Times New Roman" w:hAnsi="Times New Roman" w:eastAsia="宋体" w:cs="Times New Roman"/>
          <w:color w:val="000000"/>
          <w:sz w:val="21"/>
        </w:rPr>
        <w:t xml:space="preserve"> </w:t>
      </w:r>
      <w:r>
        <w:rPr>
          <w:rFonts w:ascii="Times New Roman" w:hAnsi="Times New Roman" w:eastAsia="宋体" w:cs="Times New Roman"/>
          <w:i/>
          <w:color w:val="000000"/>
          <w:sz w:val="21"/>
        </w:rPr>
        <w:t>I</w:t>
      </w:r>
      <w:r>
        <w:rPr>
          <w:rFonts w:ascii="Times New Roman" w:hAnsi="Times New Roman" w:eastAsia="宋体" w:cs="Times New Roman"/>
          <w:i/>
          <w:color w:val="000000"/>
          <w:sz w:val="21"/>
          <w:vertAlign w:val="subscript"/>
        </w:rPr>
        <w:t>f</w:t>
      </w:r>
      <w:r>
        <w:rPr>
          <w:rFonts w:ascii="Times New Roman" w:hAnsi="Times New Roman" w:eastAsia="宋体" w:cs="Times New Roman"/>
          <w:color w:val="000000"/>
          <w:sz w:val="21"/>
        </w:rPr>
        <w:t xml:space="preserve"> ：流经屏蔽层的雷电流，kA；</w:t>
      </w:r>
    </w:p>
    <w:p>
      <w:pPr>
        <w:autoSpaceDE w:val="0"/>
        <w:autoSpaceDN w:val="0"/>
        <w:ind w:firstLine="735" w:firstLineChars="350"/>
        <w:rPr>
          <w:rFonts w:ascii="Times New Roman" w:hAnsi="Times New Roman" w:eastAsia="宋体" w:cs="Times New Roman"/>
          <w:color w:val="000000"/>
          <w:sz w:val="21"/>
        </w:rPr>
      </w:pPr>
      <w:r>
        <w:rPr>
          <w:rFonts w:ascii="Times New Roman" w:hAnsi="Times New Roman" w:eastAsia="宋体" w:cs="Times New Roman"/>
          <w:color w:val="000000"/>
          <w:sz w:val="21"/>
        </w:rPr>
        <w:t xml:space="preserve">   </w:t>
      </w:r>
      <w:r>
        <w:rPr>
          <w:rFonts w:ascii="Times New Roman" w:hAnsi="Times New Roman" w:eastAsia="宋体" w:cs="Times New Roman"/>
          <w:i/>
          <w:color w:val="000000"/>
          <w:sz w:val="21"/>
        </w:rPr>
        <w:t>ρ</w:t>
      </w:r>
      <w:r>
        <w:rPr>
          <w:rFonts w:ascii="Times New Roman" w:hAnsi="Times New Roman" w:eastAsia="宋体" w:cs="Times New Roman"/>
          <w:i/>
          <w:color w:val="000000"/>
          <w:sz w:val="21"/>
          <w:vertAlign w:val="subscript"/>
        </w:rPr>
        <w:t>c</w:t>
      </w:r>
      <w:r>
        <w:rPr>
          <w:rFonts w:ascii="Times New Roman" w:hAnsi="Times New Roman" w:eastAsia="宋体" w:cs="Times New Roman"/>
          <w:color w:val="000000"/>
          <w:sz w:val="21"/>
        </w:rPr>
        <w:t>：屏蔽层的电阻率，Ω</w:t>
      </w:r>
      <w:r>
        <w:rPr>
          <w:rFonts w:hint="eastAsia" w:ascii="宋体" w:hAnsi="宋体" w:eastAsia="宋体" w:cs="Times New Roman"/>
          <w:color w:val="000000"/>
          <w:sz w:val="21"/>
        </w:rPr>
        <w:t>·</w:t>
      </w:r>
      <w:r>
        <w:rPr>
          <w:rFonts w:ascii="Times New Roman" w:hAnsi="Times New Roman" w:eastAsia="宋体" w:cs="Times New Roman"/>
          <w:color w:val="000000"/>
          <w:sz w:val="21"/>
        </w:rPr>
        <w:t>m</w:t>
      </w:r>
      <w:r>
        <w:rPr>
          <w:rFonts w:ascii="Times New Roman" w:hAnsi="Times New Roman" w:eastAsia="宋体" w:cs="Times New Roman"/>
          <w:i/>
          <w:color w:val="000000"/>
          <w:sz w:val="21"/>
        </w:rPr>
        <w:t xml:space="preserve"> </w:t>
      </w:r>
      <w:r>
        <w:rPr>
          <w:rFonts w:ascii="Times New Roman" w:hAnsi="Times New Roman" w:eastAsia="宋体" w:cs="Times New Roman"/>
          <w:color w:val="000000"/>
          <w:sz w:val="21"/>
        </w:rPr>
        <w:t>；</w:t>
      </w:r>
    </w:p>
    <w:p>
      <w:pPr>
        <w:autoSpaceDE w:val="0"/>
        <w:autoSpaceDN w:val="0"/>
        <w:ind w:firstLine="420" w:firstLineChars="200"/>
        <w:rPr>
          <w:rFonts w:ascii="Times New Roman" w:hAnsi="Times New Roman" w:eastAsia="宋体" w:cs="Times New Roman"/>
          <w:color w:val="000000"/>
          <w:sz w:val="21"/>
        </w:rPr>
      </w:pPr>
      <w:r>
        <w:rPr>
          <w:rFonts w:ascii="Times New Roman" w:hAnsi="Times New Roman" w:eastAsia="宋体" w:cs="Times New Roman"/>
          <w:color w:val="000000"/>
          <w:sz w:val="21"/>
        </w:rPr>
        <w:t xml:space="preserve">      </w:t>
      </w:r>
      <w:r>
        <w:rPr>
          <w:rFonts w:ascii="Times New Roman" w:hAnsi="Times New Roman" w:eastAsia="宋体" w:cs="Times New Roman"/>
          <w:i/>
          <w:color w:val="000000"/>
          <w:sz w:val="21"/>
        </w:rPr>
        <w:t>L</w:t>
      </w:r>
      <w:r>
        <w:rPr>
          <w:rFonts w:ascii="Times New Roman" w:hAnsi="Times New Roman" w:eastAsia="宋体" w:cs="Times New Roman"/>
          <w:i/>
          <w:color w:val="000000"/>
          <w:sz w:val="21"/>
          <w:vertAlign w:val="subscript"/>
        </w:rPr>
        <w:t>c</w:t>
      </w:r>
      <w:r>
        <w:rPr>
          <w:rFonts w:ascii="Times New Roman" w:hAnsi="Times New Roman" w:eastAsia="宋体" w:cs="Times New Roman"/>
          <w:color w:val="000000"/>
          <w:sz w:val="21"/>
        </w:rPr>
        <w:t>：电缆长度，m（见</w:t>
      </w:r>
      <w:r>
        <w:rPr>
          <w:rFonts w:hint="eastAsia" w:ascii="Times New Roman" w:hAnsi="Times New Roman" w:eastAsia="宋体" w:cs="Times New Roman"/>
          <w:color w:val="000000"/>
          <w:sz w:val="21"/>
        </w:rPr>
        <w:t>下</w:t>
      </w:r>
      <w:r>
        <w:rPr>
          <w:rFonts w:ascii="Times New Roman" w:hAnsi="Times New Roman" w:eastAsia="宋体" w:cs="Times New Roman"/>
          <w:color w:val="000000"/>
          <w:sz w:val="21"/>
        </w:rPr>
        <w:t>表）；</w:t>
      </w:r>
    </w:p>
    <w:p>
      <w:pPr>
        <w:autoSpaceDE w:val="0"/>
        <w:autoSpaceDN w:val="0"/>
        <w:ind w:firstLine="735" w:firstLineChars="350"/>
        <w:rPr>
          <w:rFonts w:ascii="Times New Roman" w:hAnsi="Times New Roman" w:eastAsia="宋体" w:cs="Times New Roman"/>
          <w:color w:val="000000"/>
          <w:sz w:val="21"/>
        </w:rPr>
      </w:pPr>
      <w:r>
        <w:rPr>
          <w:rFonts w:ascii="Times New Roman" w:hAnsi="Times New Roman" w:eastAsia="宋体" w:cs="Times New Roman"/>
          <w:color w:val="000000"/>
          <w:sz w:val="21"/>
        </w:rPr>
        <w:t xml:space="preserve">   </w:t>
      </w:r>
      <w:r>
        <w:rPr>
          <w:rFonts w:ascii="Times New Roman" w:hAnsi="Times New Roman" w:eastAsia="宋体" w:cs="Times New Roman"/>
          <w:i/>
          <w:color w:val="000000"/>
          <w:sz w:val="21"/>
        </w:rPr>
        <w:t>U</w:t>
      </w:r>
      <w:r>
        <w:rPr>
          <w:rFonts w:ascii="Times New Roman" w:hAnsi="Times New Roman" w:eastAsia="宋体" w:cs="Times New Roman"/>
          <w:i/>
          <w:color w:val="000000"/>
          <w:sz w:val="21"/>
          <w:vertAlign w:val="subscript"/>
        </w:rPr>
        <w:t>w</w:t>
      </w:r>
      <w:r>
        <w:rPr>
          <w:rFonts w:ascii="Times New Roman" w:hAnsi="Times New Roman" w:eastAsia="宋体" w:cs="Times New Roman"/>
          <w:color w:val="000000"/>
          <w:sz w:val="21"/>
        </w:rPr>
        <w:t>：</w:t>
      </w:r>
      <w:r>
        <w:rPr>
          <w:rFonts w:hint="eastAsia" w:ascii="Times New Roman" w:hAnsi="Times New Roman" w:eastAsia="宋体" w:cs="Times New Roman"/>
          <w:color w:val="000000"/>
          <w:sz w:val="21"/>
        </w:rPr>
        <w:t>由电缆供电的</w:t>
      </w:r>
      <w:r>
        <w:rPr>
          <w:rFonts w:ascii="Times New Roman" w:hAnsi="Times New Roman" w:eastAsia="宋体" w:cs="Times New Roman"/>
          <w:color w:val="000000"/>
          <w:sz w:val="21"/>
        </w:rPr>
        <w:t>电子</w:t>
      </w:r>
      <w:r>
        <w:rPr>
          <w:rFonts w:hint="eastAsia" w:ascii="Times New Roman" w:hAnsi="Times New Roman" w:eastAsia="宋体" w:cs="Times New Roman"/>
          <w:color w:val="000000"/>
          <w:sz w:val="21"/>
        </w:rPr>
        <w:t>/电气</w:t>
      </w:r>
      <w:r>
        <w:rPr>
          <w:rFonts w:ascii="Times New Roman" w:hAnsi="Times New Roman" w:eastAsia="宋体" w:cs="Times New Roman"/>
          <w:color w:val="000000"/>
          <w:sz w:val="21"/>
        </w:rPr>
        <w:t>系统的</w:t>
      </w:r>
      <w:r>
        <w:rPr>
          <w:rFonts w:hint="eastAsia" w:ascii="宋体" w:hAnsi="宋体" w:eastAsia="宋体" w:cs="Times New Roman"/>
          <w:color w:val="000000"/>
          <w:sz w:val="21"/>
          <w:szCs w:val="21"/>
        </w:rPr>
        <w:t>脉冲耐受电压</w:t>
      </w:r>
      <w:r>
        <w:rPr>
          <w:rFonts w:ascii="Times New Roman" w:hAnsi="Times New Roman" w:eastAsia="宋体" w:cs="Times New Roman"/>
          <w:color w:val="000000"/>
          <w:sz w:val="21"/>
        </w:rPr>
        <w:t>，kV。</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7"/>
        <w:gridCol w:w="3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27" w:type="dxa"/>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屏蔽层</w:t>
            </w:r>
            <w:r>
              <w:rPr>
                <w:rFonts w:hint="eastAsia" w:ascii="Times New Roman" w:hAnsi="Times New Roman" w:eastAsia="宋体" w:cs="Times New Roman"/>
                <w:color w:val="000000"/>
                <w:sz w:val="18"/>
                <w:szCs w:val="18"/>
              </w:rPr>
              <w:t>使用条件</w:t>
            </w:r>
          </w:p>
        </w:tc>
        <w:tc>
          <w:tcPr>
            <w:tcW w:w="3911" w:type="dxa"/>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i/>
                <w:color w:val="000000"/>
                <w:sz w:val="18"/>
                <w:szCs w:val="18"/>
              </w:rPr>
              <w:t>L</w:t>
            </w:r>
            <w:r>
              <w:rPr>
                <w:rFonts w:ascii="Times New Roman" w:hAnsi="Times New Roman" w:eastAsia="宋体" w:cs="Times New Roman"/>
                <w:i/>
                <w:color w:val="000000"/>
                <w:sz w:val="18"/>
                <w:szCs w:val="18"/>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27" w:type="dxa"/>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与电阻率为ρ(Ω</w:t>
            </w:r>
            <w:r>
              <w:rPr>
                <w:rFonts w:hint="eastAsia" w:ascii="Times New Roman" w:hAnsi="宋体" w:eastAsia="宋体" w:cs="Times New Roman"/>
                <w:color w:val="000000"/>
                <w:sz w:val="18"/>
                <w:szCs w:val="18"/>
              </w:rPr>
              <w:t>·</w:t>
            </w:r>
            <w:r>
              <w:rPr>
                <w:rFonts w:ascii="Times New Roman" w:hAnsi="Times New Roman" w:eastAsia="宋体" w:cs="Times New Roman"/>
                <w:color w:val="000000"/>
                <w:sz w:val="18"/>
                <w:szCs w:val="18"/>
              </w:rPr>
              <w:t>m)的土壤直接接触</w:t>
            </w:r>
          </w:p>
        </w:tc>
        <w:tc>
          <w:tcPr>
            <w:tcW w:w="3911" w:type="dxa"/>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position w:val="-12"/>
                <w:sz w:val="18"/>
                <w:szCs w:val="18"/>
              </w:rPr>
              <w:object>
                <v:shape id="_x0000_i1026" o:spt="75" type="#_x0000_t75" style="height:20.25pt;width:50.25pt;" o:ole="t" fillcolor="#000011"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27" w:type="dxa"/>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与</w:t>
            </w:r>
            <w:r>
              <w:rPr>
                <w:rFonts w:ascii="Times New Roman" w:hAnsi="Times New Roman" w:eastAsia="宋体" w:cs="Times New Roman"/>
                <w:color w:val="000000"/>
                <w:sz w:val="18"/>
                <w:szCs w:val="18"/>
              </w:rPr>
              <w:t>土壤绝缘</w:t>
            </w:r>
            <w:r>
              <w:rPr>
                <w:rFonts w:hint="eastAsia" w:ascii="Times New Roman" w:hAnsi="Times New Roman" w:eastAsia="宋体" w:cs="Times New Roman"/>
                <w:color w:val="000000"/>
                <w:sz w:val="18"/>
                <w:szCs w:val="18"/>
              </w:rPr>
              <w:t>或在空气中</w:t>
            </w:r>
          </w:p>
        </w:tc>
        <w:tc>
          <w:tcPr>
            <w:tcW w:w="3911" w:type="dxa"/>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L</w:t>
            </w:r>
            <w:r>
              <w:rPr>
                <w:rFonts w:ascii="Times New Roman" w:hAnsi="Times New Roman" w:eastAsia="宋体" w:cs="Times New Roman"/>
                <w:color w:val="000000"/>
                <w:sz w:val="18"/>
                <w:szCs w:val="18"/>
                <w:vertAlign w:val="subscript"/>
              </w:rPr>
              <w:t>c</w:t>
            </w:r>
            <w:r>
              <w:rPr>
                <w:rFonts w:ascii="Times New Roman" w:hAnsi="Times New Roman" w:eastAsia="宋体" w:cs="Times New Roman"/>
                <w:color w:val="000000"/>
                <w:sz w:val="18"/>
                <w:szCs w:val="18"/>
              </w:rPr>
              <w:t>为建筑物与最近屏蔽层</w:t>
            </w:r>
            <w:r>
              <w:rPr>
                <w:rFonts w:hint="eastAsia" w:ascii="Times New Roman" w:hAnsi="Times New Roman" w:eastAsia="宋体" w:cs="Times New Roman"/>
                <w:color w:val="000000"/>
                <w:sz w:val="18"/>
                <w:szCs w:val="18"/>
              </w:rPr>
              <w:t>接地</w:t>
            </w:r>
            <w:r>
              <w:rPr>
                <w:rFonts w:ascii="Times New Roman" w:hAnsi="Times New Roman" w:eastAsia="宋体" w:cs="Times New Roman"/>
                <w:color w:val="000000"/>
                <w:sz w:val="18"/>
                <w:szCs w:val="18"/>
              </w:rPr>
              <w:t>点的距离</w:t>
            </w:r>
          </w:p>
        </w:tc>
      </w:tr>
    </w:tbl>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第B.1条</w:t>
      </w:r>
    </w:p>
    <w:p>
      <w:pPr>
        <w:autoSpaceDE w:val="0"/>
        <w:autoSpaceDN w:val="0"/>
        <w:ind w:firstLine="360" w:firstLineChars="200"/>
        <w:rPr>
          <w:rFonts w:ascii="Times New Roman" w:hAnsi="Times New Roman" w:eastAsia="宋体" w:cs="Times New Roman"/>
          <w:color w:val="000000"/>
          <w:sz w:val="18"/>
          <w:szCs w:val="18"/>
        </w:rPr>
      </w:pPr>
    </w:p>
    <w:p>
      <w:pPr>
        <w:pStyle w:val="8"/>
        <w:spacing w:line="400" w:lineRule="exact"/>
        <w:ind w:left="400" w:firstLine="0" w:firstLineChars="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存储固体爆炸性材料的建筑物的防雷设计的一般要求是什么？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对储存固体爆炸性材料的建筑物，防雷设计应考虑建筑物内使用或储存材料结构上的敏感性。例如，除本附录所包含的材料外，一些非敏感性块状爆炸性材料不需要考虑。一些敏感爆炸性材料的结构可能会对快速变化的电场/或雷电脉冲电磁场的辐射比较敏感，对该类应用，有必要提出其它等电位连接或屏蔽要求。</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2）对储存固体爆炸性材料的建筑物，可采用分离的外部LPS。如果建筑物完全包含在5mm 厚的钢结构或等效结构（例如：7mm 厚的铝结构）内，可认为受到自然接闪器系统的保护，其接地要求见</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5的</w:t>
      </w:r>
      <w:r>
        <w:rPr>
          <w:rFonts w:hint="eastAsia" w:ascii="Times New Roman" w:hAnsi="Times New Roman"/>
          <w:color w:val="000000"/>
        </w:rPr>
        <w:t>5.4。</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在所有存在爆炸性材料的地方，浪涌保护器（SPD）应作为LPS的一部分。条件许可时，SPD应安装在固体爆炸性材料所在区域的外面。对安装在存在暴露的爆炸性材料或爆炸性粉尘区域内部的SPD，应采用防爆炸型SPD或将SPD密封在防爆炸的容器中。</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第D.4条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LPS电气测试要求是什么？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r>
        <w:rPr>
          <w:rFonts w:ascii="Times New Roman" w:hAnsi="Times New Roman"/>
          <w:color w:val="000000"/>
          <w:kern w:val="0"/>
          <w:sz w:val="24"/>
          <w:szCs w:val="24"/>
        </w:rPr>
        <w:t xml:space="preserve"> </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LPS应每隔12（+2）个月进行一次电气检查。精确预计一个适当的定期检查时间间隔很复杂。两次定期检查的等级和间隔的确定，应考虑设备类型和制造商的意见，若有的话，还有影响设备衰退的因素和以前检查的结果。</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2）对类似设备、车间和环境已建立的检查等级和间隔，可用来决定检查策略。</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3）超过3年的定期检查间隔应根据相关信息的评估确定。</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4）LPS的维护和检查应与在危险区域的其他电气设备的维护和检查一起进行，并加入维护计划。</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5）用于测试的仪器应符合IEC 61557-4的要求。</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6）任何与LPS连接的单个物体，其直流阻值不能超过0.2 Ω。</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7）测试的实施，应符合适当的测试设备制造商的说明。</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第D.6.5条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LPS设计流程是什么？</w:t>
      </w:r>
    </w:p>
    <w:p>
      <w:pPr>
        <w:pStyle w:val="10"/>
        <w:ind w:firstLine="240" w:firstLineChars="100"/>
        <w:rPr>
          <w:rFonts w:ascii="Times New Roman"/>
          <w:color w:val="000000"/>
          <w:sz w:val="24"/>
          <w:szCs w:val="24"/>
        </w:rPr>
      </w:pPr>
      <w:r>
        <w:rPr>
          <w:rFonts w:hint="eastAsia" w:ascii="Times New Roman"/>
          <w:color w:val="000000"/>
          <w:sz w:val="24"/>
          <w:szCs w:val="24"/>
        </w:rPr>
        <w:t>答：</w:t>
      </w:r>
    </w:p>
    <w:p>
      <w:pPr>
        <w:pStyle w:val="10"/>
        <w:ind w:firstLine="210" w:firstLineChars="100"/>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9504" behindDoc="0" locked="0" layoutInCell="1" allowOverlap="1">
                <wp:simplePos x="0" y="0"/>
                <wp:positionH relativeFrom="column">
                  <wp:posOffset>1474470</wp:posOffset>
                </wp:positionH>
                <wp:positionV relativeFrom="paragraph">
                  <wp:posOffset>127635</wp:posOffset>
                </wp:positionV>
                <wp:extent cx="2181860" cy="276225"/>
                <wp:effectExtent l="4445" t="4445" r="23495" b="5080"/>
                <wp:wrapNone/>
                <wp:docPr id="7" name="文本框 7"/>
                <wp:cNvGraphicFramePr/>
                <a:graphic xmlns:a="http://schemas.openxmlformats.org/drawingml/2006/main">
                  <a:graphicData uri="http://schemas.microsoft.com/office/word/2010/wordprocessingShape">
                    <wps:wsp>
                      <wps:cNvSpPr txBox="1"/>
                      <wps:spPr>
                        <a:xfrm>
                          <a:off x="0" y="0"/>
                          <a:ext cx="218186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受保护建筑物的特性</w:t>
                            </w:r>
                          </w:p>
                        </w:txbxContent>
                      </wps:txbx>
                      <wps:bodyPr lIns="0" tIns="36000" rIns="0" bIns="0" upright="1"/>
                    </wps:wsp>
                  </a:graphicData>
                </a:graphic>
              </wp:anchor>
            </w:drawing>
          </mc:Choice>
          <mc:Fallback>
            <w:pict>
              <v:shape id="_x0000_s1026" o:spid="_x0000_s1026" o:spt="202" type="#_x0000_t202" style="position:absolute;left:0pt;margin-left:116.1pt;margin-top:10.05pt;height:21.75pt;width:171.8pt;z-index:251669504;mso-width-relative:page;mso-height-relative:page;" fillcolor="#FFFFFF" filled="t" stroked="t" coordsize="21600,21600" o:gfxdata="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9T29oA&#10;AAAJAQAADwAAAAAAAAABACAAAAAiAAAAZHJzL2Rvd25yZXYueG1sUEsBAhQAFAAAAAgAh07iQCRU&#10;NyIdAgAAXgQAAA4AAAAAAAAAAQAgAAAAKQEAAGRycy9lMm9Eb2MueG1sUEsFBgAAAAAGAAYAWQEA&#10;ALgFA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受保护建筑物的特性</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8480" behindDoc="0" locked="0" layoutInCell="1" allowOverlap="1">
                <wp:simplePos x="0" y="0"/>
                <wp:positionH relativeFrom="column">
                  <wp:posOffset>2567940</wp:posOffset>
                </wp:positionH>
                <wp:positionV relativeFrom="paragraph">
                  <wp:posOffset>24765</wp:posOffset>
                </wp:positionV>
                <wp:extent cx="0" cy="1804035"/>
                <wp:effectExtent l="4445" t="0" r="14605" b="5715"/>
                <wp:wrapNone/>
                <wp:docPr id="6" name="直接连接符 6"/>
                <wp:cNvGraphicFramePr/>
                <a:graphic xmlns:a="http://schemas.openxmlformats.org/drawingml/2006/main">
                  <a:graphicData uri="http://schemas.microsoft.com/office/word/2010/wordprocessingShape">
                    <wps:wsp>
                      <wps:cNvCnPr/>
                      <wps:spPr>
                        <a:xfrm>
                          <a:off x="0" y="0"/>
                          <a:ext cx="0" cy="18040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02.2pt;margin-top:1.95pt;height:142.05pt;width:0pt;z-index:251668480;mso-width-relative:page;mso-height-relative:page;" filled="f" stroked="t" coordsize="21600,21600" o:gfxdata="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TCUND&#10;1gAAAAkBAAAPAAAAAAAAAAEAIAAAACIAAABkcnMvZG93bnJldi54bWxQSwECFAAUAAAACACHTuJA&#10;u+qt4OoBAADYAwAADgAAAAAAAAABACAAAAAlAQAAZHJzL2Uyb0RvYy54bWxQSwUGAAAAAAYABgBZ&#10;AQAAgQUAAAAA&#10;">
                <v:fill on="f" focussize="0,0"/>
                <v:stroke color="#000000" joinstyle="round"/>
                <v:imagedata o:title=""/>
                <o:lock v:ext="edit" aspectratio="f"/>
              </v:lin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70528" behindDoc="0" locked="0" layoutInCell="1" allowOverlap="1">
                <wp:simplePos x="0" y="0"/>
                <wp:positionH relativeFrom="column">
                  <wp:posOffset>1464310</wp:posOffset>
                </wp:positionH>
                <wp:positionV relativeFrom="paragraph">
                  <wp:posOffset>47625</wp:posOffset>
                </wp:positionV>
                <wp:extent cx="2181860" cy="276225"/>
                <wp:effectExtent l="4445" t="4445" r="23495" b="5080"/>
                <wp:wrapNone/>
                <wp:docPr id="5" name="文本框 5"/>
                <wp:cNvGraphicFramePr/>
                <a:graphic xmlns:a="http://schemas.openxmlformats.org/drawingml/2006/main">
                  <a:graphicData uri="http://schemas.microsoft.com/office/word/2010/wordprocessingShape">
                    <wps:wsp>
                      <wps:cNvSpPr txBox="1"/>
                      <wps:spPr>
                        <a:xfrm>
                          <a:off x="0" y="0"/>
                          <a:ext cx="218186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危险评估与防护水平确定</w:t>
                            </w:r>
                          </w:p>
                        </w:txbxContent>
                      </wps:txbx>
                      <wps:bodyPr lIns="0" tIns="36000" rIns="0" bIns="0" upright="1"/>
                    </wps:wsp>
                  </a:graphicData>
                </a:graphic>
              </wp:anchor>
            </w:drawing>
          </mc:Choice>
          <mc:Fallback>
            <w:pict>
              <v:shape id="_x0000_s1026" o:spid="_x0000_s1026" o:spt="202" type="#_x0000_t202" style="position:absolute;left:0pt;margin-left:115.3pt;margin-top:3.75pt;height:21.75pt;width:171.8pt;z-index:251670528;mso-width-relative:page;mso-height-relative:page;" fillcolor="#FFFFFF" filled="t" stroked="t" coordsize="21600,21600" o:gfxdata="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3tc5jZ&#10;AAAACAEAAA8AAAAAAAAAAQAgAAAAIgAAAGRycy9kb3ducmV2LnhtbFBLAQIUABQAAAAIAIdO4kAt&#10;GivjHwIAAF4EAAAOAAAAAAAAAAEAIAAAACgBAABkcnMvZTJvRG9jLnhtbFBLBQYAAAAABgAGAFkB&#10;AAC5BQ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危险评估与防护水平确定</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71552" behindDoc="0" locked="0" layoutInCell="1" allowOverlap="1">
                <wp:simplePos x="0" y="0"/>
                <wp:positionH relativeFrom="column">
                  <wp:posOffset>1464310</wp:posOffset>
                </wp:positionH>
                <wp:positionV relativeFrom="paragraph">
                  <wp:posOffset>184785</wp:posOffset>
                </wp:positionV>
                <wp:extent cx="2181860" cy="238125"/>
                <wp:effectExtent l="4445" t="4445" r="23495" b="5080"/>
                <wp:wrapNone/>
                <wp:docPr id="9" name="文本框 9"/>
                <wp:cNvGraphicFramePr/>
                <a:graphic xmlns:a="http://schemas.openxmlformats.org/drawingml/2006/main">
                  <a:graphicData uri="http://schemas.microsoft.com/office/word/2010/wordprocessingShape">
                    <wps:wsp>
                      <wps:cNvSpPr txBox="1"/>
                      <wps:spPr>
                        <a:xfrm>
                          <a:off x="0" y="0"/>
                          <a:ext cx="2181860" cy="238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外部LPS类型选择</w:t>
                            </w:r>
                          </w:p>
                        </w:txbxContent>
                      </wps:txbx>
                      <wps:bodyPr lIns="0" tIns="36000" rIns="0" bIns="0" upright="1"/>
                    </wps:wsp>
                  </a:graphicData>
                </a:graphic>
              </wp:anchor>
            </w:drawing>
          </mc:Choice>
          <mc:Fallback>
            <w:pict>
              <v:shape id="_x0000_s1026" o:spid="_x0000_s1026" o:spt="202" type="#_x0000_t202" style="position:absolute;left:0pt;margin-left:115.3pt;margin-top:14.55pt;height:18.75pt;width:171.8pt;z-index:251671552;mso-width-relative:page;mso-height-relative:page;" fillcolor="#FFFFFF" filled="t" stroked="t" coordsize="21600,21600" o:gfxdata="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9T9dhtoA&#10;AAAJAQAADwAAAAAAAAABACAAAAAiAAAAZHJzL2Rvd25yZXYueG1sUEsBAhQAFAAAAAgAh07iQAIM&#10;HP4dAgAAXgQAAA4AAAAAAAAAAQAgAAAAKQEAAGRycy9lMm9Eb2MueG1sUEsFBgAAAAAGAAYAWQEA&#10;ALgFA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外部LPS类型选择</w:t>
                      </w:r>
                    </w:p>
                  </w:txbxContent>
                </v:textbox>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7456" behindDoc="0" locked="0" layoutInCell="1" allowOverlap="1">
                <wp:simplePos x="0" y="0"/>
                <wp:positionH relativeFrom="column">
                  <wp:posOffset>615950</wp:posOffset>
                </wp:positionH>
                <wp:positionV relativeFrom="paragraph">
                  <wp:posOffset>89535</wp:posOffset>
                </wp:positionV>
                <wp:extent cx="3886200" cy="781050"/>
                <wp:effectExtent l="4445" t="4445" r="14605" b="14605"/>
                <wp:wrapNone/>
                <wp:docPr id="8" name="矩形 8"/>
                <wp:cNvGraphicFramePr/>
                <a:graphic xmlns:a="http://schemas.openxmlformats.org/drawingml/2006/main">
                  <a:graphicData uri="http://schemas.microsoft.com/office/word/2010/wordprocessingShape">
                    <wps:wsp>
                      <wps:cNvSpPr/>
                      <wps:spPr>
                        <a:xfrm>
                          <a:off x="0" y="0"/>
                          <a:ext cx="3886200" cy="781050"/>
                        </a:xfrm>
                        <a:prstGeom prst="rect">
                          <a:avLst/>
                        </a:prstGeom>
                        <a:noFill/>
                        <a:ln w="9525" cap="flat" cmpd="sng">
                          <a:solidFill>
                            <a:srgbClr val="000000"/>
                          </a:solidFill>
                          <a:prstDash val="solid"/>
                          <a:miter/>
                          <a:headEnd type="none" w="med" len="med"/>
                          <a:tailEnd type="none" w="med" len="med"/>
                        </a:ln>
                      </wps:spPr>
                      <wps:bodyPr lIns="0" tIns="0" rIns="0" bIns="0" upright="1"/>
                    </wps:wsp>
                  </a:graphicData>
                </a:graphic>
              </wp:anchor>
            </w:drawing>
          </mc:Choice>
          <mc:Fallback>
            <w:pict>
              <v:rect id="_x0000_s1026" o:spid="_x0000_s1026" o:spt="1" style="position:absolute;left:0pt;margin-left:48.5pt;margin-top:7.05pt;height:61.5pt;width:306pt;z-index:251667456;mso-width-relative:page;mso-height-relative:page;" filled="f" stroked="t" coordsize="21600,21600" o:gfxdata="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2nWWD1AAAAAkBAAAPAAAAAAAAAAEAIAAAACIAAABkcnMvZG93&#10;bnJldi54bWxQSwECFAAUAAAACACHTuJAAgrbPQQCAAAZBAAADgAAAAAAAAABACAAAAAjAQAAZHJz&#10;L2Uyb0RvYy54bWxQSwUGAAAAAAYABgBZAQAAmQUAAAAA&#10;">
                <v:fill on="f" focussize="0,0"/>
                <v:stroke color="#000000" joinstyle="miter"/>
                <v:imagedata o:title=""/>
                <o:lock v:ext="edit" aspectratio="f"/>
                <v:textbox inset="0mm,0mm,0mm,0mm"/>
              </v:rect>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72576" behindDoc="0" locked="0" layoutInCell="1" allowOverlap="1">
                <wp:simplePos x="0" y="0"/>
                <wp:positionH relativeFrom="column">
                  <wp:posOffset>43180</wp:posOffset>
                </wp:positionH>
                <wp:positionV relativeFrom="paragraph">
                  <wp:posOffset>30480</wp:posOffset>
                </wp:positionV>
                <wp:extent cx="1210310" cy="581025"/>
                <wp:effectExtent l="4445" t="4445" r="23495" b="5080"/>
                <wp:wrapNone/>
                <wp:docPr id="10" name="文本框 10"/>
                <wp:cNvGraphicFramePr/>
                <a:graphic xmlns:a="http://schemas.openxmlformats.org/drawingml/2006/main">
                  <a:graphicData uri="http://schemas.microsoft.com/office/word/2010/wordprocessingShape">
                    <wps:wsp>
                      <wps:cNvSpPr txBox="1"/>
                      <wps:spPr>
                        <a:xfrm>
                          <a:off x="0" y="0"/>
                          <a:ext cx="1210310" cy="5810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1"/>
                                <w:szCs w:val="21"/>
                              </w:rPr>
                            </w:pPr>
                            <w:r>
                              <w:rPr>
                                <w:rFonts w:hint="eastAsia"/>
                                <w:color w:val="000000"/>
                                <w:sz w:val="21"/>
                                <w:szCs w:val="21"/>
                              </w:rPr>
                              <w:t>材料类型</w:t>
                            </w:r>
                          </w:p>
                          <w:p>
                            <w:pPr>
                              <w:snapToGrid w:val="0"/>
                              <w:jc w:val="center"/>
                              <w:rPr>
                                <w:color w:val="000000"/>
                                <w:sz w:val="21"/>
                                <w:szCs w:val="21"/>
                              </w:rPr>
                            </w:pPr>
                            <w:r>
                              <w:rPr>
                                <w:rFonts w:hint="eastAsia"/>
                                <w:color w:val="000000"/>
                                <w:sz w:val="21"/>
                                <w:szCs w:val="21"/>
                              </w:rPr>
                              <w:t>（腐蚀问题）</w:t>
                            </w:r>
                          </w:p>
                          <w:p>
                            <w:pPr>
                              <w:snapToGrid w:val="0"/>
                              <w:jc w:val="center"/>
                              <w:rPr>
                                <w:color w:val="000000"/>
                                <w:sz w:val="21"/>
                                <w:szCs w:val="21"/>
                              </w:rPr>
                            </w:pPr>
                            <w:r>
                              <w:rPr>
                                <w:rFonts w:hint="eastAsia"/>
                                <w:color w:val="000000"/>
                                <w:sz w:val="21"/>
                                <w:szCs w:val="21"/>
                              </w:rPr>
                              <w:t>（易燃表面）</w:t>
                            </w:r>
                          </w:p>
                        </w:txbxContent>
                      </wps:txbx>
                      <wps:bodyPr lIns="0" tIns="36000" rIns="0" bIns="0" upright="1"/>
                    </wps:wsp>
                  </a:graphicData>
                </a:graphic>
              </wp:anchor>
            </w:drawing>
          </mc:Choice>
          <mc:Fallback>
            <w:pict>
              <v:shape id="_x0000_s1026" o:spid="_x0000_s1026" o:spt="202" type="#_x0000_t202" style="position:absolute;left:0pt;margin-left:3.4pt;margin-top:2.4pt;height:45.75pt;width:95.3pt;z-index:251672576;mso-width-relative:page;mso-height-relative:page;" fillcolor="#FFFFFF" filled="t" stroked="t" coordsize="21600,21600" o:gfxdata="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UKeJ9dgAAAAG&#10;AQAADwAAAAAAAAABACAAAAAiAAAAZHJzL2Rvd25yZXYueG1sUEsBAhQAFAAAAAgAh07iQHgy4Ywc&#10;AgAAYAQAAA4AAAAAAAAAAQAgAAAAJwEAAGRycy9lMm9Eb2MueG1sUEsFBgAAAAAGAAYAWQEAALUF&#10;AAAAAA==&#10;">
                <v:fill on="t" focussize="0,0"/>
                <v:stroke color="#000000" joinstyle="miter"/>
                <v:imagedata o:title=""/>
                <o:lock v:ext="edit" aspectratio="f"/>
                <v:textbox inset="0mm,1mm,0mm,0mm">
                  <w:txbxContent>
                    <w:p>
                      <w:pPr>
                        <w:snapToGrid w:val="0"/>
                        <w:jc w:val="center"/>
                        <w:rPr>
                          <w:color w:val="000000"/>
                          <w:sz w:val="21"/>
                          <w:szCs w:val="21"/>
                        </w:rPr>
                      </w:pPr>
                      <w:r>
                        <w:rPr>
                          <w:rFonts w:hint="eastAsia"/>
                          <w:color w:val="000000"/>
                          <w:sz w:val="21"/>
                          <w:szCs w:val="21"/>
                        </w:rPr>
                        <w:t>材料类型</w:t>
                      </w:r>
                    </w:p>
                    <w:p>
                      <w:pPr>
                        <w:snapToGrid w:val="0"/>
                        <w:jc w:val="center"/>
                        <w:rPr>
                          <w:color w:val="000000"/>
                          <w:sz w:val="21"/>
                          <w:szCs w:val="21"/>
                        </w:rPr>
                      </w:pPr>
                      <w:r>
                        <w:rPr>
                          <w:rFonts w:hint="eastAsia"/>
                          <w:color w:val="000000"/>
                          <w:sz w:val="21"/>
                          <w:szCs w:val="21"/>
                        </w:rPr>
                        <w:t>（腐蚀问题）</w:t>
                      </w:r>
                    </w:p>
                    <w:p>
                      <w:pPr>
                        <w:snapToGrid w:val="0"/>
                        <w:jc w:val="center"/>
                        <w:rPr>
                          <w:color w:val="000000"/>
                          <w:sz w:val="21"/>
                          <w:szCs w:val="21"/>
                        </w:rPr>
                      </w:pPr>
                      <w:r>
                        <w:rPr>
                          <w:rFonts w:hint="eastAsia"/>
                          <w:color w:val="000000"/>
                          <w:sz w:val="21"/>
                          <w:szCs w:val="21"/>
                        </w:rPr>
                        <w:t>（易燃表面）</w:t>
                      </w:r>
                    </w:p>
                  </w:txbxContent>
                </v:textbox>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74624" behindDoc="0" locked="0" layoutInCell="1" allowOverlap="1">
                <wp:simplePos x="0" y="0"/>
                <wp:positionH relativeFrom="column">
                  <wp:posOffset>3721100</wp:posOffset>
                </wp:positionH>
                <wp:positionV relativeFrom="paragraph">
                  <wp:posOffset>9525</wp:posOffset>
                </wp:positionV>
                <wp:extent cx="1478280" cy="285750"/>
                <wp:effectExtent l="4445" t="4445" r="22225" b="14605"/>
                <wp:wrapNone/>
                <wp:docPr id="17" name="文本框 17"/>
                <wp:cNvGraphicFramePr/>
                <a:graphic xmlns:a="http://schemas.openxmlformats.org/drawingml/2006/main">
                  <a:graphicData uri="http://schemas.microsoft.com/office/word/2010/wordprocessingShape">
                    <wps:wsp>
                      <wps:cNvSpPr txBox="1"/>
                      <wps:spPr>
                        <a:xfrm>
                          <a:off x="0" y="0"/>
                          <a:ext cx="14782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自然部件</w:t>
                            </w:r>
                          </w:p>
                        </w:txbxContent>
                      </wps:txbx>
                      <wps:bodyPr lIns="0" tIns="36000" rIns="0" bIns="0" upright="1"/>
                    </wps:wsp>
                  </a:graphicData>
                </a:graphic>
              </wp:anchor>
            </w:drawing>
          </mc:Choice>
          <mc:Fallback>
            <w:pict>
              <v:shape id="_x0000_s1026" o:spid="_x0000_s1026" o:spt="202" type="#_x0000_t202" style="position:absolute;left:0pt;margin-left:293pt;margin-top:0.75pt;height:22.5pt;width:116.4pt;z-index:251674624;mso-width-relative:page;mso-height-relative:page;" fillcolor="#FFFFFF" filled="t" stroked="t" coordsize="21600,21600" o:gfxdata="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Msei7Y&#10;AAAACAEAAA8AAAAAAAAAAQAgAAAAIgAAAGRycy9kb3ducmV2LnhtbFBLAQIUABQAAAAIAIdO4kDt&#10;XEnOIAIAAGAEAAAOAAAAAAAAAAEAIAAAACcBAABkcnMvZTJvRG9jLnhtbFBLBQYAAAAABgAGAFkB&#10;AAC5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自然部件</w:t>
                      </w:r>
                    </w:p>
                  </w:txbxContent>
                </v:textbox>
              </v:shape>
            </w:pict>
          </mc:Fallback>
        </mc:AlternateContent>
      </w:r>
      <w:r>
        <w:rPr>
          <w:rFonts w:ascii="Times New Roman"/>
          <w:color w:val="000000"/>
        </w:rPr>
        <mc:AlternateContent>
          <mc:Choice Requires="wps">
            <w:drawing>
              <wp:anchor distT="0" distB="0" distL="114300" distR="114300" simplePos="0" relativeHeight="251673600" behindDoc="0" locked="0" layoutInCell="1" allowOverlap="1">
                <wp:simplePos x="0" y="0"/>
                <wp:positionH relativeFrom="column">
                  <wp:posOffset>1786890</wp:posOffset>
                </wp:positionH>
                <wp:positionV relativeFrom="paragraph">
                  <wp:posOffset>19050</wp:posOffset>
                </wp:positionV>
                <wp:extent cx="1563370" cy="285750"/>
                <wp:effectExtent l="4445" t="4445" r="13335" b="14605"/>
                <wp:wrapNone/>
                <wp:docPr id="64" name="文本框 64"/>
                <wp:cNvGraphicFramePr/>
                <a:graphic xmlns:a="http://schemas.openxmlformats.org/drawingml/2006/main">
                  <a:graphicData uri="http://schemas.microsoft.com/office/word/2010/wordprocessingShape">
                    <wps:wsp>
                      <wps:cNvSpPr txBox="1"/>
                      <wps:spPr>
                        <a:xfrm>
                          <a:off x="0" y="0"/>
                          <a:ext cx="156337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防雷部件的尺寸</w:t>
                            </w:r>
                          </w:p>
                        </w:txbxContent>
                      </wps:txbx>
                      <wps:bodyPr lIns="0" tIns="36000" rIns="0" bIns="0" upright="1"/>
                    </wps:wsp>
                  </a:graphicData>
                </a:graphic>
              </wp:anchor>
            </w:drawing>
          </mc:Choice>
          <mc:Fallback>
            <w:pict>
              <v:shape id="_x0000_s1026" o:spid="_x0000_s1026" o:spt="202" type="#_x0000_t202" style="position:absolute;left:0pt;margin-left:140.7pt;margin-top:1.5pt;height:22.5pt;width:123.1pt;z-index:251673600;mso-width-relative:page;mso-height-relative:page;" fillcolor="#FFFFFF" filled="t" stroked="t" coordsize="21600,21600" o:gfxdata="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3Sy&#10;7NkAAAAIAQAADwAAAAAAAAABACAAAAAiAAAAZHJzL2Rvd25yZXYueG1sUEsBAhQAFAAAAAgAh07i&#10;QD/YItIhAgAAYAQAAA4AAAAAAAAAAQAgAAAAKAEAAGRycy9lMm9Eb2MueG1sUEsFBgAAAAAGAAYA&#10;WQEAALsFA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防雷部件的尺寸</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3056" behindDoc="0" locked="0" layoutInCell="1" allowOverlap="1">
                <wp:simplePos x="0" y="0"/>
                <wp:positionH relativeFrom="column">
                  <wp:posOffset>2518410</wp:posOffset>
                </wp:positionH>
                <wp:positionV relativeFrom="paragraph">
                  <wp:posOffset>123825</wp:posOffset>
                </wp:positionV>
                <wp:extent cx="85090" cy="85090"/>
                <wp:effectExtent l="4445" t="4445" r="5715" b="5715"/>
                <wp:wrapNone/>
                <wp:docPr id="47" name="椭圆 47"/>
                <wp:cNvGraphicFramePr/>
                <a:graphic xmlns:a="http://schemas.openxmlformats.org/drawingml/2006/main">
                  <a:graphicData uri="http://schemas.microsoft.com/office/word/2010/wordprocessingShape">
                    <wps:wsp>
                      <wps:cNvSpPr/>
                      <wps:spPr>
                        <a:xfrm>
                          <a:off x="0" y="0"/>
                          <a:ext cx="85090" cy="85090"/>
                        </a:xfrm>
                        <a:prstGeom prst="ellipse">
                          <a:avLst/>
                        </a:prstGeom>
                        <a:solidFill>
                          <a:srgbClr val="000000"/>
                        </a:solidFill>
                        <a:ln w="9525" cap="flat" cmpd="sng">
                          <a:solidFill>
                            <a:srgbClr val="800000"/>
                          </a:solidFill>
                          <a:prstDash val="solid"/>
                          <a:headEnd type="none" w="med" len="med"/>
                          <a:tailEnd type="none" w="med" len="med"/>
                        </a:ln>
                      </wps:spPr>
                      <wps:bodyPr lIns="0" tIns="0" rIns="0" bIns="0" upright="1"/>
                    </wps:wsp>
                  </a:graphicData>
                </a:graphic>
              </wp:anchor>
            </w:drawing>
          </mc:Choice>
          <mc:Fallback>
            <w:pict>
              <v:shape id="_x0000_s1026" o:spid="_x0000_s1026" o:spt="3" type="#_x0000_t3" style="position:absolute;left:0pt;margin-left:198.3pt;margin-top:9.75pt;height:6.7pt;width:6.7pt;z-index:251693056;mso-width-relative:page;mso-height-relative:page;" fillcolor="#000000" filled="t" stroked="t" coordsize="21600,21600" o:gfxdata="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F6kd81gAAAAkBAAAPAAAAAAAAAAEAIAAAACIAAABkcnMvZG93&#10;bnJldi54bWxQSwECFAAUAAAACACHTuJANEd8SAICAAA6BAAADgAAAAAAAAABACAAAAAlAQAAZHJz&#10;L2Uyb0RvYy54bWxQSwUGAAAAAAYABgBZAQAAmQUAAAAA&#10;">
                <v:fill on="t" focussize="0,0"/>
                <v:stroke color="#800000" joinstyle="round"/>
                <v:imagedata o:title=""/>
                <o:lock v:ext="edit" aspectratio="f"/>
                <v:textbox inset="0mm,0mm,0mm,0mm"/>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75648" behindDoc="0" locked="0" layoutInCell="1" allowOverlap="1">
                <wp:simplePos x="0" y="0"/>
                <wp:positionH relativeFrom="column">
                  <wp:posOffset>1521460</wp:posOffset>
                </wp:positionH>
                <wp:positionV relativeFrom="paragraph">
                  <wp:posOffset>53340</wp:posOffset>
                </wp:positionV>
                <wp:extent cx="2181860" cy="238125"/>
                <wp:effectExtent l="4445" t="4445" r="23495" b="5080"/>
                <wp:wrapNone/>
                <wp:docPr id="50" name="文本框 50"/>
                <wp:cNvGraphicFramePr/>
                <a:graphic xmlns:a="http://schemas.openxmlformats.org/drawingml/2006/main">
                  <a:graphicData uri="http://schemas.microsoft.com/office/word/2010/wordprocessingShape">
                    <wps:wsp>
                      <wps:cNvSpPr txBox="1"/>
                      <wps:spPr>
                        <a:xfrm>
                          <a:off x="0" y="0"/>
                          <a:ext cx="2181860" cy="238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接闪系统</w:t>
                            </w:r>
                          </w:p>
                        </w:txbxContent>
                      </wps:txbx>
                      <wps:bodyPr lIns="0" tIns="36000" rIns="0" bIns="0" upright="1"/>
                    </wps:wsp>
                  </a:graphicData>
                </a:graphic>
              </wp:anchor>
            </w:drawing>
          </mc:Choice>
          <mc:Fallback>
            <w:pict>
              <v:shape id="_x0000_s1026" o:spid="_x0000_s1026" o:spt="202" type="#_x0000_t202" style="position:absolute;left:0pt;margin-left:119.8pt;margin-top:4.2pt;height:18.75pt;width:171.8pt;z-index:251675648;mso-width-relative:page;mso-height-relative:page;" fillcolor="#FFFFFF" filled="t" stroked="t" coordsize="21600,21600" o:gfxdata="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zKSBLa&#10;AAAACAEAAA8AAAAAAAAAAQAgAAAAIgAAAGRycy9kb3ducmV2LnhtbFBLAQIUABQAAAAIAIdO4kAS&#10;qX5uHgIAAGAEAAAOAAAAAAAAAAEAIAAAACkBAABkcnMvZTJvRG9jLnhtbFBLBQYAAAAABgAGAFkB&#10;AAC5BQ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接闪系统</w:t>
                      </w:r>
                    </w:p>
                  </w:txbxContent>
                </v:textbox>
              </v:shape>
            </w:pict>
          </mc:Fallback>
        </mc:AlternateContent>
      </w:r>
      <w:r>
        <w:rPr>
          <w:rFonts w:ascii="Times New Roman"/>
          <w:color w:val="000000"/>
        </w:rPr>
        <mc:AlternateContent>
          <mc:Choice Requires="wps">
            <w:drawing>
              <wp:anchor distT="0" distB="0" distL="114300" distR="114300" simplePos="0" relativeHeight="251666432" behindDoc="0" locked="0" layoutInCell="1" allowOverlap="1">
                <wp:simplePos x="0" y="0"/>
                <wp:positionH relativeFrom="column">
                  <wp:posOffset>529590</wp:posOffset>
                </wp:positionH>
                <wp:positionV relativeFrom="paragraph">
                  <wp:posOffset>184785</wp:posOffset>
                </wp:positionV>
                <wp:extent cx="4210050" cy="838200"/>
                <wp:effectExtent l="4445" t="5080" r="14605" b="13970"/>
                <wp:wrapNone/>
                <wp:docPr id="62" name="矩形 62"/>
                <wp:cNvGraphicFramePr/>
                <a:graphic xmlns:a="http://schemas.openxmlformats.org/drawingml/2006/main">
                  <a:graphicData uri="http://schemas.microsoft.com/office/word/2010/wordprocessingShape">
                    <wps:wsp>
                      <wps:cNvSpPr/>
                      <wps:spPr>
                        <a:xfrm>
                          <a:off x="0" y="0"/>
                          <a:ext cx="4210050" cy="838200"/>
                        </a:xfrm>
                        <a:prstGeom prst="rect">
                          <a:avLst/>
                        </a:prstGeom>
                        <a:noFill/>
                        <a:ln w="9525" cap="flat" cmpd="sng">
                          <a:solidFill>
                            <a:srgbClr val="000000"/>
                          </a:solidFill>
                          <a:prstDash val="solid"/>
                          <a:miter/>
                          <a:headEnd type="none" w="med" len="med"/>
                          <a:tailEnd type="none" w="med" len="med"/>
                        </a:ln>
                      </wps:spPr>
                      <wps:bodyPr lIns="0" tIns="0" rIns="0" bIns="0" upright="1"/>
                    </wps:wsp>
                  </a:graphicData>
                </a:graphic>
              </wp:anchor>
            </w:drawing>
          </mc:Choice>
          <mc:Fallback>
            <w:pict>
              <v:rect id="_x0000_s1026" o:spid="_x0000_s1026" o:spt="1" style="position:absolute;left:0pt;margin-left:41.7pt;margin-top:14.55pt;height:66pt;width:331.5pt;z-index:251666432;mso-width-relative:page;mso-height-relative:page;" filled="f" stroked="t" coordsize="21600,21600" o:gfxdata="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IdrD3VAAAACQEAAA8AAAAAAAAAAQAgAAAAIgAAAGRycy9k&#10;b3ducmV2LnhtbFBLAQIUABQAAAAIAIdO4kB0mgtVBQIAABsEAAAOAAAAAAAAAAEAIAAAACQBAABk&#10;cnMvZTJvRG9jLnhtbFBLBQYAAAAABgAGAFkBAACbBQAAAAA=&#10;">
                <v:fill on="f" focussize="0,0"/>
                <v:stroke color="#000000" joinstyle="miter"/>
                <v:imagedata o:title=""/>
                <o:lock v:ext="edit" aspectratio="f"/>
                <v:textbox inset="0mm,0mm,0mm,0mm"/>
              </v:rect>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5408" behindDoc="0" locked="0" layoutInCell="1" allowOverlap="1">
                <wp:simplePos x="0" y="0"/>
                <wp:positionH relativeFrom="column">
                  <wp:posOffset>1939290</wp:posOffset>
                </wp:positionH>
                <wp:positionV relativeFrom="paragraph">
                  <wp:posOffset>91440</wp:posOffset>
                </wp:positionV>
                <wp:extent cx="0" cy="742950"/>
                <wp:effectExtent l="4445" t="0" r="14605" b="0"/>
                <wp:wrapNone/>
                <wp:docPr id="57" name="直接连接符 57"/>
                <wp:cNvGraphicFramePr/>
                <a:graphic xmlns:a="http://schemas.openxmlformats.org/drawingml/2006/main">
                  <a:graphicData uri="http://schemas.microsoft.com/office/word/2010/wordprocessingShape">
                    <wps:wsp>
                      <wps:cNvCnPr/>
                      <wps:spPr>
                        <a:xfrm>
                          <a:off x="0" y="0"/>
                          <a:ext cx="0" cy="7429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52.7pt;margin-top:7.2pt;height:58.5pt;width:0pt;z-index:251665408;mso-width-relative:page;mso-height-relative:page;" filled="f" stroked="t" coordsize="21600,21600" o:gfxdata="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z&#10;lluV1gAAAAoBAAAPAAAAAAAAAAEAIAAAACIAAABkcnMvZG93bnJldi54bWxQSwECFAAUAAAACACH&#10;TuJA9fLRRe0BAADZAwAADgAAAAAAAAABACAAAAAlAQAAZHJzL2Uyb0RvYy54bWxQSwUGAAAAAAYA&#10;BgBZAQAAhAUAAAAA&#10;">
                <v:fill on="f" focussize="0,0"/>
                <v:stroke color="#000000" joinstyle="round"/>
                <v:imagedata o:title=""/>
                <o:lock v:ext="edit" aspectratio="f"/>
              </v:line>
            </w:pict>
          </mc:Fallback>
        </mc:AlternateContent>
      </w:r>
      <w:r>
        <w:rPr>
          <w:rFonts w:ascii="Times New Roman"/>
          <w:color w:val="000000"/>
        </w:rPr>
        <mc:AlternateContent>
          <mc:Choice Requires="wps">
            <w:drawing>
              <wp:anchor distT="0" distB="0" distL="114300" distR="114300" simplePos="0" relativeHeight="251664384" behindDoc="0" locked="0" layoutInCell="1" allowOverlap="1">
                <wp:simplePos x="0" y="0"/>
                <wp:positionH relativeFrom="column">
                  <wp:posOffset>3310890</wp:posOffset>
                </wp:positionH>
                <wp:positionV relativeFrom="paragraph">
                  <wp:posOffset>81915</wp:posOffset>
                </wp:positionV>
                <wp:extent cx="0" cy="742950"/>
                <wp:effectExtent l="4445" t="0" r="14605" b="0"/>
                <wp:wrapNone/>
                <wp:docPr id="69" name="直接连接符 69"/>
                <wp:cNvGraphicFramePr/>
                <a:graphic xmlns:a="http://schemas.openxmlformats.org/drawingml/2006/main">
                  <a:graphicData uri="http://schemas.microsoft.com/office/word/2010/wordprocessingShape">
                    <wps:wsp>
                      <wps:cNvCnPr/>
                      <wps:spPr>
                        <a:xfrm>
                          <a:off x="0" y="0"/>
                          <a:ext cx="0" cy="7429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60.7pt;margin-top:6.45pt;height:58.5pt;width:0pt;z-index:251664384;mso-width-relative:page;mso-height-relative:page;" filled="f" stroked="t" coordsize="21600,21600" o:gfxdata="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h9&#10;WnvVAAAACgEAAA8AAAAAAAAAAQAgAAAAIgAAAGRycy9kb3ducmV2LnhtbFBLAQIUABQAAAAIAIdO&#10;4kAoJMBX7QEAANkDAAAOAAAAAAAAAAEAIAAAACQBAABkcnMvZTJvRG9jLnhtbFBLBQYAAAAABgAG&#10;AFkBAACDBQAAAAA=&#10;">
                <v:fill on="f" focussize="0,0"/>
                <v:stroke color="#000000" joinstyle="round"/>
                <v:imagedata o:title=""/>
                <o:lock v:ext="edit" aspectratio="f"/>
              </v:lin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83840" behindDoc="0" locked="0" layoutInCell="1" allowOverlap="1">
                <wp:simplePos x="0" y="0"/>
                <wp:positionH relativeFrom="column">
                  <wp:posOffset>4180840</wp:posOffset>
                </wp:positionH>
                <wp:positionV relativeFrom="paragraph">
                  <wp:posOffset>123825</wp:posOffset>
                </wp:positionV>
                <wp:extent cx="1059180" cy="285750"/>
                <wp:effectExtent l="5080" t="4445" r="21590" b="14605"/>
                <wp:wrapNone/>
                <wp:docPr id="16" name="文本框 16"/>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自然部件</w:t>
                            </w:r>
                          </w:p>
                        </w:txbxContent>
                      </wps:txbx>
                      <wps:bodyPr lIns="0" tIns="36000" rIns="0" bIns="0" upright="1"/>
                    </wps:wsp>
                  </a:graphicData>
                </a:graphic>
              </wp:anchor>
            </w:drawing>
          </mc:Choice>
          <mc:Fallback>
            <w:pict>
              <v:shape id="_x0000_s1026" o:spid="_x0000_s1026" o:spt="202" type="#_x0000_t202" style="position:absolute;left:0pt;margin-left:329.2pt;margin-top:9.75pt;height:22.5pt;width:83.4pt;z-index:251683840;mso-width-relative:page;mso-height-relative:page;" fillcolor="#FFFFFF" filled="t" stroked="t" coordsize="21600,21600" o:gfxdata="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89dO3&#10;2QAAAAkBAAAPAAAAAAAAAAEAIAAAACIAAABkcnMvZG93bnJldi54bWxQSwECFAAUAAAACACHTuJA&#10;N9JUhSACAABgBAAADgAAAAAAAAABACAAAAAoAQAAZHJzL2Uyb0RvYy54bWxQSwUGAAAAAAYABgBZ&#10;AQAAugU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自然部件</w:t>
                      </w:r>
                    </w:p>
                  </w:txbxContent>
                </v:textbox>
              </v:shape>
            </w:pict>
          </mc:Fallback>
        </mc:AlternateContent>
      </w:r>
      <w:r>
        <w:rPr>
          <w:rFonts w:ascii="Times New Roman"/>
          <w:color w:val="000000"/>
        </w:rPr>
        <mc:AlternateContent>
          <mc:Choice Requires="wps">
            <w:drawing>
              <wp:anchor distT="0" distB="0" distL="114300" distR="114300" simplePos="0" relativeHeight="251682816" behindDoc="0" locked="0" layoutInCell="1" allowOverlap="1">
                <wp:simplePos x="0" y="0"/>
                <wp:positionH relativeFrom="column">
                  <wp:posOffset>2790190</wp:posOffset>
                </wp:positionH>
                <wp:positionV relativeFrom="paragraph">
                  <wp:posOffset>114300</wp:posOffset>
                </wp:positionV>
                <wp:extent cx="1059180" cy="285750"/>
                <wp:effectExtent l="5080" t="4445" r="21590" b="14605"/>
                <wp:wrapNone/>
                <wp:docPr id="68" name="文本框 68"/>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架空、接闪导线</w:t>
                            </w:r>
                          </w:p>
                        </w:txbxContent>
                      </wps:txbx>
                      <wps:bodyPr lIns="0" tIns="36000" rIns="0" bIns="0" upright="1"/>
                    </wps:wsp>
                  </a:graphicData>
                </a:graphic>
              </wp:anchor>
            </w:drawing>
          </mc:Choice>
          <mc:Fallback>
            <w:pict>
              <v:shape id="_x0000_s1026" o:spid="_x0000_s1026" o:spt="202" type="#_x0000_t202" style="position:absolute;left:0pt;margin-left:219.7pt;margin-top:9pt;height:22.5pt;width:83.4pt;z-index:251682816;mso-width-relative:page;mso-height-relative:page;" fillcolor="#FFFFFF" filled="t" stroked="t" coordsize="21600,21600" o:gfxdata="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7xYia&#10;2QAAAAkBAAAPAAAAAAAAAAEAIAAAACIAAABkcnMvZG93bnJldi54bWxQSwECFAAUAAAACACHTuJA&#10;e1/dFiACAABgBAAADgAAAAAAAAABACAAAAAoAQAAZHJzL2Uyb0RvYy54bWxQSwUGAAAAAAYABgBZ&#10;AQAAugU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架空、接闪导线</w:t>
                      </w:r>
                    </w:p>
                  </w:txbxContent>
                </v:textbox>
              </v:shape>
            </w:pict>
          </mc:Fallback>
        </mc:AlternateContent>
      </w:r>
      <w:r>
        <w:rPr>
          <w:rFonts w:ascii="Times New Roman"/>
          <w:color w:val="000000"/>
        </w:rPr>
        <mc:AlternateContent>
          <mc:Choice Requires="wps">
            <w:drawing>
              <wp:anchor distT="0" distB="0" distL="114300" distR="114300" simplePos="0" relativeHeight="251681792" behindDoc="0" locked="0" layoutInCell="1" allowOverlap="1">
                <wp:simplePos x="0" y="0"/>
                <wp:positionH relativeFrom="column">
                  <wp:posOffset>1408430</wp:posOffset>
                </wp:positionH>
                <wp:positionV relativeFrom="paragraph">
                  <wp:posOffset>47625</wp:posOffset>
                </wp:positionV>
                <wp:extent cx="1059180" cy="447675"/>
                <wp:effectExtent l="5080" t="4445" r="21590" b="5080"/>
                <wp:wrapNone/>
                <wp:docPr id="55" name="文本框 55"/>
                <wp:cNvGraphicFramePr/>
                <a:graphic xmlns:a="http://schemas.openxmlformats.org/drawingml/2006/main">
                  <a:graphicData uri="http://schemas.microsoft.com/office/word/2010/wordprocessingShape">
                    <wps:wsp>
                      <wps:cNvSpPr txBox="1"/>
                      <wps:spPr>
                        <a:xfrm>
                          <a:off x="0" y="0"/>
                          <a:ext cx="1059180" cy="447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垂直杆状接闪器</w:t>
                            </w:r>
                          </w:p>
                        </w:txbxContent>
                      </wps:txbx>
                      <wps:bodyPr lIns="0" tIns="36000" rIns="0" bIns="0" upright="1"/>
                    </wps:wsp>
                  </a:graphicData>
                </a:graphic>
              </wp:anchor>
            </w:drawing>
          </mc:Choice>
          <mc:Fallback>
            <w:pict>
              <v:shape id="_x0000_s1026" o:spid="_x0000_s1026" o:spt="202" type="#_x0000_t202" style="position:absolute;left:0pt;margin-left:110.9pt;margin-top:3.75pt;height:35.25pt;width:83.4pt;z-index:251681792;mso-width-relative:page;mso-height-relative:page;" fillcolor="#FFFFFF" filled="t" stroked="t" coordsize="21600,21600" o:gfxdata="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sbWGu&#10;2AAAAAgBAAAPAAAAAAAAAAEAIAAAACIAAABkcnMvZG93bnJldi54bWxQSwECFAAUAAAACACHTuJA&#10;UHN5gCECAABgBAAADgAAAAAAAAABACAAAAAnAQAAZHJzL2Uyb0RvYy54bWxQSwUGAAAAAAYABgBZ&#10;AQAAugU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垂直杆状接闪器</w:t>
                      </w:r>
                    </w:p>
                  </w:txbxContent>
                </v:textbox>
              </v:shape>
            </w:pict>
          </mc:Fallback>
        </mc:AlternateContent>
      </w:r>
      <w:r>
        <w:rPr>
          <w:rFonts w:ascii="Times New Roman"/>
          <w:color w:val="000000"/>
        </w:rPr>
        <mc:AlternateContent>
          <mc:Choice Requires="wps">
            <w:drawing>
              <wp:anchor distT="0" distB="0" distL="114300" distR="114300" simplePos="0" relativeHeight="251680768" behindDoc="0" locked="0" layoutInCell="1" allowOverlap="1">
                <wp:simplePos x="0" y="0"/>
                <wp:positionH relativeFrom="column">
                  <wp:posOffset>16510</wp:posOffset>
                </wp:positionH>
                <wp:positionV relativeFrom="paragraph">
                  <wp:posOffset>76200</wp:posOffset>
                </wp:positionV>
                <wp:extent cx="1059180" cy="419100"/>
                <wp:effectExtent l="5080" t="5080" r="21590" b="13970"/>
                <wp:wrapNone/>
                <wp:docPr id="18" name="文本框 18"/>
                <wp:cNvGraphicFramePr/>
                <a:graphic xmlns:a="http://schemas.openxmlformats.org/drawingml/2006/main">
                  <a:graphicData uri="http://schemas.microsoft.com/office/word/2010/wordprocessingShape">
                    <wps:wsp>
                      <wps:cNvSpPr txBox="1"/>
                      <wps:spPr>
                        <a:xfrm>
                          <a:off x="0" y="0"/>
                          <a:ext cx="1059180" cy="419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水平屋顶导体网状系统</w:t>
                            </w:r>
                          </w:p>
                        </w:txbxContent>
                      </wps:txbx>
                      <wps:bodyPr lIns="0" tIns="36000" rIns="0" bIns="0" upright="1"/>
                    </wps:wsp>
                  </a:graphicData>
                </a:graphic>
              </wp:anchor>
            </w:drawing>
          </mc:Choice>
          <mc:Fallback>
            <w:pict>
              <v:shape id="_x0000_s1026" o:spid="_x0000_s1026" o:spt="202" type="#_x0000_t202" style="position:absolute;left:0pt;margin-left:1.3pt;margin-top:6pt;height:33pt;width:83.4pt;z-index:251680768;mso-width-relative:page;mso-height-relative:page;" fillcolor="#FFFFFF" filled="t" stroked="t" coordsize="21600,21600" o:gfxdata="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Mhv2tgA&#10;AAAHAQAADwAAAAAAAAABACAAAAAiAAAAZHJzL2Rvd25yZXYueG1sUEsBAhQAFAAAAAgAh07iQCfa&#10;c7ofAgAAYAQAAA4AAAAAAAAAAQAgAAAAJwEAAGRycy9lMm9Eb2MueG1sUEsFBgAAAAAGAAYAWQEA&#10;ALgFA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水平屋顶导体网状系统</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6128" behindDoc="0" locked="0" layoutInCell="1" allowOverlap="1">
                <wp:simplePos x="0" y="0"/>
                <wp:positionH relativeFrom="column">
                  <wp:posOffset>2531110</wp:posOffset>
                </wp:positionH>
                <wp:positionV relativeFrom="paragraph">
                  <wp:posOffset>188595</wp:posOffset>
                </wp:positionV>
                <wp:extent cx="85090" cy="85090"/>
                <wp:effectExtent l="4445" t="4445" r="5715" b="5715"/>
                <wp:wrapNone/>
                <wp:docPr id="46" name="椭圆 46"/>
                <wp:cNvGraphicFramePr/>
                <a:graphic xmlns:a="http://schemas.openxmlformats.org/drawingml/2006/main">
                  <a:graphicData uri="http://schemas.microsoft.com/office/word/2010/wordprocessingShape">
                    <wps:wsp>
                      <wps:cNvSpPr/>
                      <wps:spPr>
                        <a:xfrm>
                          <a:off x="0" y="0"/>
                          <a:ext cx="85090" cy="85090"/>
                        </a:xfrm>
                        <a:prstGeom prst="ellipse">
                          <a:avLst/>
                        </a:prstGeom>
                        <a:solidFill>
                          <a:srgbClr val="000000"/>
                        </a:solidFill>
                        <a:ln w="9525" cap="flat" cmpd="sng">
                          <a:solidFill>
                            <a:srgbClr val="800000"/>
                          </a:solidFill>
                          <a:prstDash val="solid"/>
                          <a:headEnd type="none" w="med" len="med"/>
                          <a:tailEnd type="none" w="med" len="med"/>
                        </a:ln>
                      </wps:spPr>
                      <wps:bodyPr lIns="0" tIns="0" rIns="0" bIns="0" upright="1"/>
                    </wps:wsp>
                  </a:graphicData>
                </a:graphic>
              </wp:anchor>
            </w:drawing>
          </mc:Choice>
          <mc:Fallback>
            <w:pict>
              <v:shape id="_x0000_s1026" o:spid="_x0000_s1026" o:spt="3" type="#_x0000_t3" style="position:absolute;left:0pt;margin-left:199.3pt;margin-top:14.85pt;height:6.7pt;width:6.7pt;z-index:251696128;mso-width-relative:page;mso-height-relative:page;" fillcolor="#000000" filled="t" stroked="t" coordsize="21600,21600" o:gfxdata="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WzBaXYAAAACQEAAA8AAAAAAAAAAQAgAAAAIgAAAGRycy9k&#10;b3ducmV2LnhtbFBLAQIUABQAAAAIAIdO4kD9JdsHAgIAADoEAAAOAAAAAAAAAAEAIAAAACcBAABk&#10;cnMvZTJvRG9jLnhtbFBLBQYAAAAABgAGAFkBAACbBQAAAAA=&#10;">
                <v:fill on="t" focussize="0,0"/>
                <v:stroke color="#800000" joinstyle="round"/>
                <v:imagedata o:title=""/>
                <o:lock v:ext="edit" aspectratio="f"/>
                <v:textbox inset="0mm,0mm,0mm,0mm"/>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4080" behindDoc="0" locked="0" layoutInCell="1" allowOverlap="1">
                <wp:simplePos x="0" y="0"/>
                <wp:positionH relativeFrom="column">
                  <wp:posOffset>2571750</wp:posOffset>
                </wp:positionH>
                <wp:positionV relativeFrom="paragraph">
                  <wp:posOffset>36195</wp:posOffset>
                </wp:positionV>
                <wp:extent cx="0" cy="144780"/>
                <wp:effectExtent l="4445" t="0" r="14605" b="7620"/>
                <wp:wrapNone/>
                <wp:docPr id="48" name="直接连接符 48"/>
                <wp:cNvGraphicFramePr/>
                <a:graphic xmlns:a="http://schemas.openxmlformats.org/drawingml/2006/main">
                  <a:graphicData uri="http://schemas.microsoft.com/office/word/2010/wordprocessingShape">
                    <wps:wsp>
                      <wps:cNvCnPr/>
                      <wps:spPr>
                        <a:xfrm>
                          <a:off x="0" y="0"/>
                          <a:ext cx="0" cy="14478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02.5pt;margin-top:2.85pt;height:11.4pt;width:0pt;z-index:251694080;mso-width-relative:page;mso-height-relative:page;" filled="f" stroked="t" coordsize="21600,21600" o:gfxdata="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UX&#10;PnXVAAAACAEAAA8AAAAAAAAAAQAgAAAAIgAAAGRycy9kb3ducmV2LnhtbFBLAQIUABQAAAAIAIdO&#10;4kD+4tRX7QEAANkDAAAOAAAAAAAAAAEAIAAAACQBAABkcnMvZTJvRG9jLnhtbFBLBQYAAAAABgAG&#10;AFkBAACDBQAAAAA=&#10;">
                <v:fill on="f" focussize="0,0"/>
                <v:stroke color="#000000" joinstyle="round"/>
                <v:imagedata o:title=""/>
                <o:lock v:ext="edit" aspectratio="f"/>
              </v:line>
            </w:pict>
          </mc:Fallback>
        </mc:AlternateContent>
      </w:r>
      <w:r>
        <w:rPr>
          <w:rFonts w:ascii="Times New Roman"/>
          <w:color w:val="000000"/>
        </w:rPr>
        <mc:AlternateContent>
          <mc:Choice Requires="wps">
            <w:drawing>
              <wp:anchor distT="0" distB="0" distL="114300" distR="114300" simplePos="0" relativeHeight="251692032" behindDoc="0" locked="0" layoutInCell="1" allowOverlap="1">
                <wp:simplePos x="0" y="0"/>
                <wp:positionH relativeFrom="column">
                  <wp:posOffset>1508760</wp:posOffset>
                </wp:positionH>
                <wp:positionV relativeFrom="paragraph">
                  <wp:posOffset>179070</wp:posOffset>
                </wp:positionV>
                <wp:extent cx="2181860" cy="238125"/>
                <wp:effectExtent l="4445" t="4445" r="23495" b="5080"/>
                <wp:wrapNone/>
                <wp:docPr id="19" name="文本框 19"/>
                <wp:cNvGraphicFramePr/>
                <a:graphic xmlns:a="http://schemas.openxmlformats.org/drawingml/2006/main">
                  <a:graphicData uri="http://schemas.microsoft.com/office/word/2010/wordprocessingShape">
                    <wps:wsp>
                      <wps:cNvSpPr txBox="1"/>
                      <wps:spPr>
                        <a:xfrm>
                          <a:off x="0" y="0"/>
                          <a:ext cx="2181860" cy="238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引下线系统</w:t>
                            </w:r>
                          </w:p>
                        </w:txbxContent>
                      </wps:txbx>
                      <wps:bodyPr lIns="0" tIns="36000" rIns="0" bIns="0" upright="1"/>
                    </wps:wsp>
                  </a:graphicData>
                </a:graphic>
              </wp:anchor>
            </w:drawing>
          </mc:Choice>
          <mc:Fallback>
            <w:pict>
              <v:shape id="_x0000_s1026" o:spid="_x0000_s1026" o:spt="202" type="#_x0000_t202" style="position:absolute;left:0pt;margin-left:118.8pt;margin-top:14.1pt;height:18.75pt;width:171.8pt;z-index:251692032;mso-width-relative:page;mso-height-relative:page;" fillcolor="#FFFFFF" filled="t" stroked="t" coordsize="21600,21600" o:gfxdata="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Wjt6d&#10;2gAAAAkBAAAPAAAAAAAAAAEAIAAAACIAAABkcnMvZG93bnJldi54bWxQSwECFAAUAAAACACHTuJA&#10;THbzXB8CAABgBAAADgAAAAAAAAABACAAAAApAQAAZHJzL2Uyb0RvYy54bWxQSwUGAAAAAAYABgBZ&#10;AQAAugU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引下线系统</w:t>
                      </w:r>
                    </w:p>
                  </w:txbxContent>
                </v:textbox>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3360" behindDoc="0" locked="0" layoutInCell="1" allowOverlap="1">
                <wp:simplePos x="0" y="0"/>
                <wp:positionH relativeFrom="column">
                  <wp:posOffset>520700</wp:posOffset>
                </wp:positionH>
                <wp:positionV relativeFrom="paragraph">
                  <wp:posOffset>72390</wp:posOffset>
                </wp:positionV>
                <wp:extent cx="4191000" cy="790575"/>
                <wp:effectExtent l="5080" t="4445" r="13970" b="5080"/>
                <wp:wrapNone/>
                <wp:docPr id="61" name="矩形 61"/>
                <wp:cNvGraphicFramePr/>
                <a:graphic xmlns:a="http://schemas.openxmlformats.org/drawingml/2006/main">
                  <a:graphicData uri="http://schemas.microsoft.com/office/word/2010/wordprocessingShape">
                    <wps:wsp>
                      <wps:cNvSpPr/>
                      <wps:spPr>
                        <a:xfrm>
                          <a:off x="0" y="0"/>
                          <a:ext cx="4191000" cy="790575"/>
                        </a:xfrm>
                        <a:prstGeom prst="rect">
                          <a:avLst/>
                        </a:prstGeom>
                        <a:solidFill>
                          <a:srgbClr val="FFFFFF"/>
                        </a:solidFill>
                        <a:ln w="9525" cap="flat" cmpd="sng">
                          <a:solidFill>
                            <a:srgbClr val="000000"/>
                          </a:solidFill>
                          <a:prstDash val="solid"/>
                          <a:miter/>
                          <a:headEnd type="none" w="med" len="med"/>
                          <a:tailEnd type="none" w="med" len="med"/>
                        </a:ln>
                      </wps:spPr>
                      <wps:bodyPr lIns="0" tIns="0" rIns="0" bIns="0" upright="1"/>
                    </wps:wsp>
                  </a:graphicData>
                </a:graphic>
              </wp:anchor>
            </w:drawing>
          </mc:Choice>
          <mc:Fallback>
            <w:pict>
              <v:rect id="_x0000_s1026" o:spid="_x0000_s1026" o:spt="1" style="position:absolute;left:0pt;margin-left:41pt;margin-top:5.7pt;height:62.25pt;width:330pt;z-index:251663360;mso-width-relative:page;mso-height-relative:page;" fillcolor="#FFFFFF" filled="t" stroked="t" coordsize="21600,21600" o:gfxdata="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frSttkAAAAJAQAADwAAAAAAAAABACAA&#10;AAAiAAAAZHJzL2Rvd25yZXYueG1sUEsBAhQAFAAAAAgAh07iQF0C9WwMAgAARAQAAA4AAAAAAAAA&#10;AQAgAAAAKAEAAGRycy9lMm9Eb2MueG1sUEsFBgAAAAAGAAYAWQEAAKYFAAAAAA==&#10;">
                <v:fill on="t" focussize="0,0"/>
                <v:stroke color="#000000" joinstyle="miter"/>
                <v:imagedata o:title=""/>
                <o:lock v:ext="edit" aspectratio="f"/>
                <v:textbox inset="0mm,0mm,0mm,0mm"/>
              </v:rect>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7152" behindDoc="0" locked="0" layoutInCell="1" allowOverlap="1">
                <wp:simplePos x="0" y="0"/>
                <wp:positionH relativeFrom="column">
                  <wp:posOffset>3291840</wp:posOffset>
                </wp:positionH>
                <wp:positionV relativeFrom="paragraph">
                  <wp:posOffset>36195</wp:posOffset>
                </wp:positionV>
                <wp:extent cx="0" cy="628650"/>
                <wp:effectExtent l="4445" t="0" r="14605" b="0"/>
                <wp:wrapNone/>
                <wp:docPr id="63" name="直接连接符 63"/>
                <wp:cNvGraphicFramePr/>
                <a:graphic xmlns:a="http://schemas.openxmlformats.org/drawingml/2006/main">
                  <a:graphicData uri="http://schemas.microsoft.com/office/word/2010/wordprocessingShape">
                    <wps:wsp>
                      <wps:cNvCnPr/>
                      <wps:spPr>
                        <a:xfrm>
                          <a:off x="0" y="0"/>
                          <a:ext cx="0" cy="6286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59.2pt;margin-top:2.85pt;height:49.5pt;width:0pt;z-index:251697152;mso-width-relative:page;mso-height-relative:page;" filled="f" stroked="t" coordsize="21600,21600" o:gfxdata="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0O&#10;3RfVAAAACQEAAA8AAAAAAAAAAQAgAAAAIgAAAGRycy9kb3ducmV2LnhtbFBLAQIUABQAAAAIAIdO&#10;4kDEujLl7QEAANkDAAAOAAAAAAAAAAEAIAAAACQBAABkcnMvZTJvRG9jLnhtbFBLBQYAAAAABgAG&#10;AFkBAACDBQAAAAA=&#10;">
                <v:fill on="f" focussize="0,0"/>
                <v:stroke color="#000000" joinstyle="round"/>
                <v:imagedata o:title=""/>
                <o:lock v:ext="edit" aspectratio="f"/>
              </v:line>
            </w:pict>
          </mc:Fallback>
        </mc:AlternateContent>
      </w:r>
      <w:r>
        <w:rPr>
          <w:rFonts w:ascii="Times New Roman"/>
          <w:color w:val="000000"/>
        </w:rPr>
        <mc:AlternateContent>
          <mc:Choice Requires="wps">
            <w:drawing>
              <wp:anchor distT="0" distB="0" distL="114300" distR="114300" simplePos="0" relativeHeight="251695104" behindDoc="0" locked="0" layoutInCell="1" allowOverlap="1">
                <wp:simplePos x="0" y="0"/>
                <wp:positionH relativeFrom="column">
                  <wp:posOffset>1920240</wp:posOffset>
                </wp:positionH>
                <wp:positionV relativeFrom="paragraph">
                  <wp:posOffset>45720</wp:posOffset>
                </wp:positionV>
                <wp:extent cx="0" cy="601980"/>
                <wp:effectExtent l="5080" t="0" r="13970" b="7620"/>
                <wp:wrapNone/>
                <wp:docPr id="59" name="直接连接符 59"/>
                <wp:cNvGraphicFramePr/>
                <a:graphic xmlns:a="http://schemas.openxmlformats.org/drawingml/2006/main">
                  <a:graphicData uri="http://schemas.microsoft.com/office/word/2010/wordprocessingShape">
                    <wps:wsp>
                      <wps:cNvCnPr/>
                      <wps:spPr>
                        <a:xfrm>
                          <a:off x="0" y="0"/>
                          <a:ext cx="0" cy="60198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51.2pt;margin-top:3.6pt;height:47.4pt;width:0pt;z-index:251695104;mso-width-relative:page;mso-height-relative:page;" filled="f" stroked="t" coordsize="21600,21600" o:gfxdata="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8OP1&#10;1tQAAAAJAQAADwAAAAAAAAABACAAAAAiAAAAZHJzL2Rvd25yZXYueG1sUEsBAhQAFAAAAAgAh07i&#10;QGTHQCXtAQAA2QMAAA4AAAAAAAAAAQAgAAAAIwEAAGRycy9lMm9Eb2MueG1sUEsFBgAAAAAGAAYA&#10;WQEAAIIFAAAAAA==&#10;">
                <v:fill on="f" focussize="0,0"/>
                <v:stroke color="#000000" joinstyle="round"/>
                <v:imagedata o:title=""/>
                <o:lock v:ext="edit" aspectratio="f"/>
              </v:line>
            </w:pict>
          </mc:Fallback>
        </mc:AlternateContent>
      </w:r>
      <w:r>
        <w:rPr>
          <w:rFonts w:ascii="Times New Roman"/>
          <w:color w:val="000000"/>
        </w:rPr>
        <mc:AlternateContent>
          <mc:Choice Requires="wps">
            <w:drawing>
              <wp:anchor distT="0" distB="0" distL="114300" distR="114300" simplePos="0" relativeHeight="251676672" behindDoc="0" locked="0" layoutInCell="1" allowOverlap="1">
                <wp:simplePos x="0" y="0"/>
                <wp:positionH relativeFrom="column">
                  <wp:posOffset>-2540</wp:posOffset>
                </wp:positionH>
                <wp:positionV relativeFrom="paragraph">
                  <wp:posOffset>171450</wp:posOffset>
                </wp:positionV>
                <wp:extent cx="1059180" cy="285750"/>
                <wp:effectExtent l="5080" t="4445" r="21590" b="14605"/>
                <wp:wrapNone/>
                <wp:docPr id="20" name="文本框 20"/>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引下线设计</w:t>
                            </w:r>
                          </w:p>
                        </w:txbxContent>
                      </wps:txbx>
                      <wps:bodyPr lIns="0" tIns="36000" rIns="0" bIns="0" upright="1"/>
                    </wps:wsp>
                  </a:graphicData>
                </a:graphic>
              </wp:anchor>
            </w:drawing>
          </mc:Choice>
          <mc:Fallback>
            <w:pict>
              <v:shape id="_x0000_s1026" o:spid="_x0000_s1026" o:spt="202" type="#_x0000_t202" style="position:absolute;left:0pt;margin-left:-0.2pt;margin-top:13.5pt;height:22.5pt;width:83.4pt;z-index:251676672;mso-width-relative:page;mso-height-relative:page;" fillcolor="#FFFFFF" filled="t" stroked="t" coordsize="21600,21600" o:gfxdata="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Vl7YrY&#10;AAAABwEAAA8AAAAAAAAAAQAgAAAAIgAAAGRycy9kb3ducmV2LnhtbFBLAQIUABQAAAAIAIdO4kCr&#10;jtHUIAIAAGAEAAAOAAAAAAAAAAEAIAAAACcBAABkcnMvZTJvRG9jLnhtbFBLBQYAAAAABgAGAFkB&#10;AAC5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引下线设计</w:t>
                      </w:r>
                    </w:p>
                  </w:txbxContent>
                </v:textbox>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701248" behindDoc="0" locked="0" layoutInCell="1" allowOverlap="1">
                <wp:simplePos x="0" y="0"/>
                <wp:positionH relativeFrom="column">
                  <wp:posOffset>2771140</wp:posOffset>
                </wp:positionH>
                <wp:positionV relativeFrom="paragraph">
                  <wp:posOffset>11430</wp:posOffset>
                </wp:positionV>
                <wp:extent cx="1059180" cy="285750"/>
                <wp:effectExtent l="5080" t="4445" r="21590" b="14605"/>
                <wp:wrapNone/>
                <wp:docPr id="49" name="文本框 49"/>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所需数量</w:t>
                            </w:r>
                          </w:p>
                        </w:txbxContent>
                      </wps:txbx>
                      <wps:bodyPr lIns="0" tIns="36000" rIns="0" bIns="0" upright="1"/>
                    </wps:wsp>
                  </a:graphicData>
                </a:graphic>
              </wp:anchor>
            </w:drawing>
          </mc:Choice>
          <mc:Fallback>
            <w:pict>
              <v:shape id="_x0000_s1026" o:spid="_x0000_s1026" o:spt="202" type="#_x0000_t202" style="position:absolute;left:0pt;margin-left:218.2pt;margin-top:0.9pt;height:22.5pt;width:83.4pt;z-index:251701248;mso-width-relative:page;mso-height-relative:page;" fillcolor="#FFFFFF" filled="t" stroked="t" coordsize="21600,21600" o:gfxdata="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rT&#10;ndgAAAAIAQAADwAAAAAAAAABACAAAAAiAAAAZHJzL2Rvd25yZXYueG1sUEsBAhQAFAAAAAgAh07i&#10;QKcPvPMiAgAAYAQAAA4AAAAAAAAAAQAgAAAAJwEAAGRycy9lMm9Eb2MueG1sUEsFBgAAAAAGAAYA&#10;WQEAALsFA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所需数量</w:t>
                      </w:r>
                    </w:p>
                  </w:txbxContent>
                </v:textbox>
              </v:shape>
            </w:pict>
          </mc:Fallback>
        </mc:AlternateContent>
      </w:r>
      <w:r>
        <w:rPr>
          <w:rFonts w:ascii="Times New Roman"/>
          <w:color w:val="000000"/>
        </w:rPr>
        <mc:AlternateContent>
          <mc:Choice Requires="wps">
            <w:drawing>
              <wp:anchor distT="0" distB="0" distL="114300" distR="114300" simplePos="0" relativeHeight="251700224" behindDoc="0" locked="0" layoutInCell="1" allowOverlap="1">
                <wp:simplePos x="0" y="0"/>
                <wp:positionH relativeFrom="column">
                  <wp:posOffset>1389380</wp:posOffset>
                </wp:positionH>
                <wp:positionV relativeFrom="paragraph">
                  <wp:posOffset>11430</wp:posOffset>
                </wp:positionV>
                <wp:extent cx="1059180" cy="285750"/>
                <wp:effectExtent l="5080" t="4445" r="21590" b="14605"/>
                <wp:wrapNone/>
                <wp:docPr id="51" name="文本框 51"/>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sz w:val="24"/>
                                <w:szCs w:val="24"/>
                              </w:rPr>
                              <w:t>隐蔽</w:t>
                            </w:r>
                            <w:r>
                              <w:rPr>
                                <w:rFonts w:hint="eastAsia"/>
                                <w:color w:val="000000"/>
                                <w:sz w:val="24"/>
                                <w:szCs w:val="24"/>
                              </w:rPr>
                              <w:t>或暴露</w:t>
                            </w:r>
                          </w:p>
                        </w:txbxContent>
                      </wps:txbx>
                      <wps:bodyPr lIns="0" tIns="36000" rIns="0" bIns="0" upright="1"/>
                    </wps:wsp>
                  </a:graphicData>
                </a:graphic>
              </wp:anchor>
            </w:drawing>
          </mc:Choice>
          <mc:Fallback>
            <w:pict>
              <v:shape id="_x0000_s1026" o:spid="_x0000_s1026" o:spt="202" type="#_x0000_t202" style="position:absolute;left:0pt;margin-left:109.4pt;margin-top:0.9pt;height:22.5pt;width:83.4pt;z-index:251700224;mso-width-relative:page;mso-height-relative:page;" fillcolor="#FFFFFF" filled="t" stroked="t" coordsize="21600,21600" o:gfxdata="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mHo5&#10;2AAAAAgBAAAPAAAAAAAAAAEAIAAAACIAAABkcnMvZG93bnJldi54bWxQSwECFAAUAAAACACHTuJA&#10;+k2AECECAABgBAAADgAAAAAAAAABACAAAAAnAQAAZHJzL2Uyb0RvYy54bWxQSwUGAAAAAAYABgBZ&#10;AQAAugU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sz w:val="24"/>
                          <w:szCs w:val="24"/>
                        </w:rPr>
                        <w:t>隐蔽</w:t>
                      </w:r>
                      <w:r>
                        <w:rPr>
                          <w:rFonts w:hint="eastAsia"/>
                          <w:color w:val="000000"/>
                          <w:sz w:val="24"/>
                          <w:szCs w:val="24"/>
                        </w:rPr>
                        <w:t>或暴露</w:t>
                      </w:r>
                    </w:p>
                  </w:txbxContent>
                </v:textbox>
              </v:shape>
            </w:pict>
          </mc:Fallback>
        </mc:AlternateContent>
      </w:r>
      <w:r>
        <w:rPr>
          <w:rFonts w:ascii="Times New Roman"/>
          <w:color w:val="000000"/>
        </w:rPr>
        <mc:AlternateContent>
          <mc:Choice Requires="wps">
            <w:drawing>
              <wp:anchor distT="0" distB="0" distL="114300" distR="114300" simplePos="0" relativeHeight="251677696" behindDoc="0" locked="0" layoutInCell="1" allowOverlap="1">
                <wp:simplePos x="0" y="0"/>
                <wp:positionH relativeFrom="column">
                  <wp:posOffset>4161790</wp:posOffset>
                </wp:positionH>
                <wp:positionV relativeFrom="paragraph">
                  <wp:posOffset>20955</wp:posOffset>
                </wp:positionV>
                <wp:extent cx="1059180" cy="285750"/>
                <wp:effectExtent l="5080" t="4445" r="21590" b="14605"/>
                <wp:wrapNone/>
                <wp:docPr id="58" name="文本框 58"/>
                <wp:cNvGraphicFramePr/>
                <a:graphic xmlns:a="http://schemas.openxmlformats.org/drawingml/2006/main">
                  <a:graphicData uri="http://schemas.microsoft.com/office/word/2010/wordprocessingShape">
                    <wps:wsp>
                      <wps:cNvSpPr txBox="1"/>
                      <wps:spPr>
                        <a:xfrm>
                          <a:off x="0" y="0"/>
                          <a:ext cx="105918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自然部件</w:t>
                            </w:r>
                          </w:p>
                        </w:txbxContent>
                      </wps:txbx>
                      <wps:bodyPr lIns="0" tIns="36000" rIns="0" bIns="0" upright="1"/>
                    </wps:wsp>
                  </a:graphicData>
                </a:graphic>
              </wp:anchor>
            </w:drawing>
          </mc:Choice>
          <mc:Fallback>
            <w:pict>
              <v:shape id="_x0000_s1026" o:spid="_x0000_s1026" o:spt="202" type="#_x0000_t202" style="position:absolute;left:0pt;margin-left:327.7pt;margin-top:1.65pt;height:22.5pt;width:83.4pt;z-index:251677696;mso-width-relative:page;mso-height-relative:page;" fillcolor="#FFFFFF" filled="t" stroked="t" coordsize="21600,21600" o:gfxdata="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MH+&#10;aNoAAAAIAQAADwAAAAAAAAABACAAAAAiAAAAZHJzL2Rvd25yZXYueG1sUEsBAhQAFAAAAAgAh07i&#10;QAAuzQkgAgAAYAQAAA4AAAAAAAAAAQAgAAAAKQEAAGRycy9lMm9Eb2MueG1sUEsFBgAAAAAGAAYA&#10;WQEAALsFA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自然部件</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2336" behindDoc="0" locked="0" layoutInCell="1" allowOverlap="1">
                <wp:simplePos x="0" y="0"/>
                <wp:positionH relativeFrom="column">
                  <wp:posOffset>2559050</wp:posOffset>
                </wp:positionH>
                <wp:positionV relativeFrom="paragraph">
                  <wp:posOffset>74295</wp:posOffset>
                </wp:positionV>
                <wp:extent cx="0" cy="2228850"/>
                <wp:effectExtent l="5080" t="0" r="13970" b="0"/>
                <wp:wrapNone/>
                <wp:docPr id="52" name="直接连接符 52"/>
                <wp:cNvGraphicFramePr/>
                <a:graphic xmlns:a="http://schemas.openxmlformats.org/drawingml/2006/main">
                  <a:graphicData uri="http://schemas.microsoft.com/office/word/2010/wordprocessingShape">
                    <wps:wsp>
                      <wps:cNvCnPr/>
                      <wps:spPr>
                        <a:xfrm>
                          <a:off x="0" y="0"/>
                          <a:ext cx="0" cy="22288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01.5pt;margin-top:5.85pt;height:175.5pt;width:0pt;z-index:251662336;mso-width-relative:page;mso-height-relative:page;" filled="f" stroked="t" coordsize="21600,21600" o:gfxdata="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uCVgdcAAAAKAQAADwAAAAAAAAABACAAAAAiAAAAZHJzL2Rvd25yZXYueG1sUEsBAhQAFAAAAAgA&#10;h07iQC/qfjvtAQAA2gMAAA4AAAAAAAAAAQAgAAAAJgEAAGRycy9lMm9Eb2MueG1sUEsFBgAAAAAG&#10;AAYAWQEAAIUFAAAAAA==&#10;">
                <v:fill on="f" focussize="0,0"/>
                <v:stroke color="#000000" joinstyle="round"/>
                <v:imagedata o:title=""/>
                <o:lock v:ext="edit" aspectratio="f"/>
              </v:line>
            </w:pict>
          </mc:Fallback>
        </mc:AlternateContent>
      </w:r>
      <w:r>
        <w:rPr>
          <w:rFonts w:ascii="Times New Roman"/>
          <w:color w:val="000000"/>
        </w:rPr>
        <mc:AlternateContent>
          <mc:Choice Requires="wps">
            <w:drawing>
              <wp:anchor distT="0" distB="0" distL="114300" distR="114300" simplePos="0" relativeHeight="251698176" behindDoc="0" locked="0" layoutInCell="1" allowOverlap="1">
                <wp:simplePos x="0" y="0"/>
                <wp:positionH relativeFrom="column">
                  <wp:posOffset>2518410</wp:posOffset>
                </wp:positionH>
                <wp:positionV relativeFrom="paragraph">
                  <wp:posOffset>40005</wp:posOffset>
                </wp:positionV>
                <wp:extent cx="85090" cy="85090"/>
                <wp:effectExtent l="4445" t="4445" r="5715" b="5715"/>
                <wp:wrapNone/>
                <wp:docPr id="53" name="椭圆 53"/>
                <wp:cNvGraphicFramePr/>
                <a:graphic xmlns:a="http://schemas.openxmlformats.org/drawingml/2006/main">
                  <a:graphicData uri="http://schemas.microsoft.com/office/word/2010/wordprocessingShape">
                    <wps:wsp>
                      <wps:cNvSpPr/>
                      <wps:spPr>
                        <a:xfrm>
                          <a:off x="0" y="0"/>
                          <a:ext cx="85090" cy="85090"/>
                        </a:xfrm>
                        <a:prstGeom prst="ellipse">
                          <a:avLst/>
                        </a:prstGeom>
                        <a:solidFill>
                          <a:srgbClr val="000000"/>
                        </a:solidFill>
                        <a:ln w="9525" cap="flat" cmpd="sng">
                          <a:solidFill>
                            <a:srgbClr val="800000"/>
                          </a:solidFill>
                          <a:prstDash val="solid"/>
                          <a:headEnd type="none" w="med" len="med"/>
                          <a:tailEnd type="none" w="med" len="med"/>
                        </a:ln>
                      </wps:spPr>
                      <wps:bodyPr lIns="0" tIns="0" rIns="0" bIns="0" upright="1"/>
                    </wps:wsp>
                  </a:graphicData>
                </a:graphic>
              </wp:anchor>
            </w:drawing>
          </mc:Choice>
          <mc:Fallback>
            <w:pict>
              <v:shape id="_x0000_s1026" o:spid="_x0000_s1026" o:spt="3" type="#_x0000_t3" style="position:absolute;left:0pt;margin-left:198.3pt;margin-top:3.15pt;height:6.7pt;width:6.7pt;z-index:251698176;mso-width-relative:page;mso-height-relative:page;" fillcolor="#000000" filled="t" stroked="t" coordsize="21600,21600" o:gfxdata="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IUr4PWAAAACAEAAA8AAAAAAAAAAQAgAAAAIgAAAGRycy9kb3du&#10;cmV2LnhtbFBLAQIUABQAAAAIAIdO4kAnF2dPAQIAADoEAAAOAAAAAAAAAAEAIAAAACUBAABkcnMv&#10;ZTJvRG9jLnhtbFBLBQYAAAAABgAGAFkBAACYBQAAAAA=&#10;">
                <v:fill on="t" focussize="0,0"/>
                <v:stroke color="#800000" joinstyle="round"/>
                <v:imagedata o:title=""/>
                <o:lock v:ext="edit" aspectratio="f"/>
                <v:textbox inset="0mm,0mm,0mm,0mm"/>
              </v:shape>
            </w:pict>
          </mc:Fallback>
        </mc:AlternateContent>
      </w:r>
      <w:r>
        <w:rPr>
          <w:rFonts w:ascii="Times New Roman"/>
          <w:color w:val="000000"/>
        </w:rPr>
        <mc:AlternateContent>
          <mc:Choice Requires="wps">
            <w:drawing>
              <wp:anchor distT="0" distB="0" distL="114300" distR="114300" simplePos="0" relativeHeight="251678720" behindDoc="0" locked="0" layoutInCell="1" allowOverlap="1">
                <wp:simplePos x="0" y="0"/>
                <wp:positionH relativeFrom="column">
                  <wp:posOffset>1530350</wp:posOffset>
                </wp:positionH>
                <wp:positionV relativeFrom="paragraph">
                  <wp:posOffset>196215</wp:posOffset>
                </wp:positionV>
                <wp:extent cx="2181860" cy="238125"/>
                <wp:effectExtent l="4445" t="4445" r="23495" b="5080"/>
                <wp:wrapNone/>
                <wp:docPr id="66" name="文本框 66"/>
                <wp:cNvGraphicFramePr/>
                <a:graphic xmlns:a="http://schemas.openxmlformats.org/drawingml/2006/main">
                  <a:graphicData uri="http://schemas.microsoft.com/office/word/2010/wordprocessingShape">
                    <wps:wsp>
                      <wps:cNvSpPr txBox="1"/>
                      <wps:spPr>
                        <a:xfrm>
                          <a:off x="0" y="0"/>
                          <a:ext cx="2181860" cy="238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接地装置</w:t>
                            </w:r>
                          </w:p>
                        </w:txbxContent>
                      </wps:txbx>
                      <wps:bodyPr lIns="0" tIns="36000" rIns="0" bIns="0" upright="1"/>
                    </wps:wsp>
                  </a:graphicData>
                </a:graphic>
              </wp:anchor>
            </w:drawing>
          </mc:Choice>
          <mc:Fallback>
            <w:pict>
              <v:shape id="_x0000_s1026" o:spid="_x0000_s1026" o:spt="202" type="#_x0000_t202" style="position:absolute;left:0pt;margin-left:120.5pt;margin-top:15.45pt;height:18.75pt;width:171.8pt;z-index:251678720;mso-width-relative:page;mso-height-relative:page;" fillcolor="#FFFFFF" filled="t" stroked="t" coordsize="21600,21600" o:gfxdata="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sXv+M&#10;2gAAAAkBAAAPAAAAAAAAAAEAIAAAACIAAABkcnMvZG93bnJldi54bWxQSwECFAAUAAAACACHTuJA&#10;jvX7Px8CAABgBAAADgAAAAAAAAABACAAAAApAQAAZHJzL2Uyb0RvYy54bWxQSwUGAAAAAAYABgBZ&#10;AQAAugU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接地装置</w:t>
                      </w:r>
                    </w:p>
                  </w:txbxContent>
                </v:textbox>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61312" behindDoc="0" locked="0" layoutInCell="1" allowOverlap="1">
                <wp:simplePos x="0" y="0"/>
                <wp:positionH relativeFrom="column">
                  <wp:posOffset>530860</wp:posOffset>
                </wp:positionH>
                <wp:positionV relativeFrom="paragraph">
                  <wp:posOffset>120015</wp:posOffset>
                </wp:positionV>
                <wp:extent cx="4191000" cy="790575"/>
                <wp:effectExtent l="5080" t="4445" r="13970" b="5080"/>
                <wp:wrapNone/>
                <wp:docPr id="54" name="矩形 54"/>
                <wp:cNvGraphicFramePr/>
                <a:graphic xmlns:a="http://schemas.openxmlformats.org/drawingml/2006/main">
                  <a:graphicData uri="http://schemas.microsoft.com/office/word/2010/wordprocessingShape">
                    <wps:wsp>
                      <wps:cNvSpPr/>
                      <wps:spPr>
                        <a:xfrm>
                          <a:off x="0" y="0"/>
                          <a:ext cx="4191000" cy="790575"/>
                        </a:xfrm>
                        <a:prstGeom prst="rect">
                          <a:avLst/>
                        </a:prstGeom>
                        <a:solidFill>
                          <a:srgbClr val="FFFFFF"/>
                        </a:solidFill>
                        <a:ln w="9525" cap="flat" cmpd="sng">
                          <a:solidFill>
                            <a:srgbClr val="000000"/>
                          </a:solidFill>
                          <a:prstDash val="solid"/>
                          <a:miter/>
                          <a:headEnd type="none" w="med" len="med"/>
                          <a:tailEnd type="none" w="med" len="med"/>
                        </a:ln>
                      </wps:spPr>
                      <wps:bodyPr lIns="0" tIns="0" rIns="0" bIns="0" upright="1"/>
                    </wps:wsp>
                  </a:graphicData>
                </a:graphic>
              </wp:anchor>
            </w:drawing>
          </mc:Choice>
          <mc:Fallback>
            <w:pict>
              <v:rect id="_x0000_s1026" o:spid="_x0000_s1026" o:spt="1" style="position:absolute;left:0pt;margin-left:41.8pt;margin-top:9.45pt;height:62.25pt;width:330pt;z-index:251661312;mso-width-relative:page;mso-height-relative:page;" fillcolor="#FFFFFF" filled="t" stroked="t" coordsize="21600,21600" o:gfxdata="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YrNQLZAAAACQEAAA8AAAAAAAAAAQAg&#10;AAAAIgAAAGRycy9kb3ducmV2LnhtbFBLAQIUABQAAAAIAIdO4kDH/qEtDQIAAEQEAAAOAAAAAAAA&#10;AAEAIAAAACgBAABkcnMvZTJvRG9jLnhtbFBLBQYAAAAABgAGAFkBAACnBQAAAAA=&#10;">
                <v:fill on="t" focussize="0,0"/>
                <v:stroke color="#000000" joinstyle="miter"/>
                <v:imagedata o:title=""/>
                <o:lock v:ext="edit" aspectratio="f"/>
                <v:textbox inset="0mm,0mm,0mm,0mm"/>
              </v:rect>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85888" behindDoc="0" locked="0" layoutInCell="1" allowOverlap="1">
                <wp:simplePos x="0" y="0"/>
                <wp:positionH relativeFrom="column">
                  <wp:posOffset>3723640</wp:posOffset>
                </wp:positionH>
                <wp:positionV relativeFrom="paragraph">
                  <wp:posOffset>30480</wp:posOffset>
                </wp:positionV>
                <wp:extent cx="1459230" cy="285750"/>
                <wp:effectExtent l="4445" t="4445" r="22225" b="14605"/>
                <wp:wrapNone/>
                <wp:docPr id="56" name="文本框 56"/>
                <wp:cNvGraphicFramePr/>
                <a:graphic xmlns:a="http://schemas.openxmlformats.org/drawingml/2006/main">
                  <a:graphicData uri="http://schemas.microsoft.com/office/word/2010/wordprocessingShape">
                    <wps:wsp>
                      <wps:cNvSpPr txBox="1"/>
                      <wps:spPr>
                        <a:xfrm>
                          <a:off x="0" y="0"/>
                          <a:ext cx="145923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自然部件</w:t>
                            </w:r>
                          </w:p>
                        </w:txbxContent>
                      </wps:txbx>
                      <wps:bodyPr lIns="0" tIns="36000" rIns="0" bIns="0" upright="1"/>
                    </wps:wsp>
                  </a:graphicData>
                </a:graphic>
              </wp:anchor>
            </w:drawing>
          </mc:Choice>
          <mc:Fallback>
            <w:pict>
              <v:shape id="_x0000_s1026" o:spid="_x0000_s1026" o:spt="202" type="#_x0000_t202" style="position:absolute;left:0pt;margin-left:293.2pt;margin-top:2.4pt;height:22.5pt;width:114.9pt;z-index:251685888;mso-width-relative:page;mso-height-relative:page;" fillcolor="#FFFFFF" filled="t" stroked="t" coordsize="21600,21600" o:gfxdata="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r&#10;WobZAAAACAEAAA8AAAAAAAAAAQAgAAAAIgAAAGRycy9kb3ducmV2LnhtbFBLAQIUABQAAAAIAIdO&#10;4kDjAixFIgIAAGAEAAAOAAAAAAAAAAEAIAAAACgBAABkcnMvZTJvRG9jLnhtbFBLBQYAAAAABgAG&#10;AFkBAAC8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自然部件</w:t>
                      </w:r>
                    </w:p>
                  </w:txbxContent>
                </v:textbox>
              </v:shape>
            </w:pict>
          </mc:Fallback>
        </mc:AlternateContent>
      </w:r>
      <w:r>
        <w:rPr>
          <w:rFonts w:ascii="Times New Roman"/>
          <w:color w:val="000000"/>
        </w:rPr>
        <mc:AlternateContent>
          <mc:Choice Requires="wps">
            <w:drawing>
              <wp:anchor distT="0" distB="0" distL="114300" distR="114300" simplePos="0" relativeHeight="251684864" behindDoc="0" locked="0" layoutInCell="1" allowOverlap="1">
                <wp:simplePos x="0" y="0"/>
                <wp:positionH relativeFrom="column">
                  <wp:posOffset>1874520</wp:posOffset>
                </wp:positionH>
                <wp:positionV relativeFrom="paragraph">
                  <wp:posOffset>30480</wp:posOffset>
                </wp:positionV>
                <wp:extent cx="1450340" cy="285750"/>
                <wp:effectExtent l="4445" t="4445" r="12065" b="14605"/>
                <wp:wrapNone/>
                <wp:docPr id="21" name="文本框 21"/>
                <wp:cNvGraphicFramePr/>
                <a:graphic xmlns:a="http://schemas.openxmlformats.org/drawingml/2006/main">
                  <a:graphicData uri="http://schemas.microsoft.com/office/word/2010/wordprocessingShape">
                    <wps:wsp>
                      <wps:cNvSpPr txBox="1"/>
                      <wps:spPr>
                        <a:xfrm>
                          <a:off x="0" y="0"/>
                          <a:ext cx="145034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A型或A和B型接地极</w:t>
                            </w:r>
                          </w:p>
                        </w:txbxContent>
                      </wps:txbx>
                      <wps:bodyPr lIns="0" tIns="36000" rIns="0" bIns="0" upright="1"/>
                    </wps:wsp>
                  </a:graphicData>
                </a:graphic>
              </wp:anchor>
            </w:drawing>
          </mc:Choice>
          <mc:Fallback>
            <w:pict>
              <v:shape id="_x0000_s1026" o:spid="_x0000_s1026" o:spt="202" type="#_x0000_t202" style="position:absolute;left:0pt;margin-left:147.6pt;margin-top:2.4pt;height:22.5pt;width:114.2pt;z-index:251684864;mso-width-relative:page;mso-height-relative:page;" fillcolor="#FFFFFF" filled="t" stroked="t" coordsize="21600,21600" o:gfxdata="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KH&#10;HoDZAAAACAEAAA8AAAAAAAAAAQAgAAAAIgAAAGRycy9kb3ducmV2LnhtbFBLAQIUABQAAAAIAIdO&#10;4kDmcTI+IgIAAGAEAAAOAAAAAAAAAAEAIAAAACgBAABkcnMvZTJvRG9jLnhtbFBLBQYAAAAABgAG&#10;AFkBAAC8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A型或A和B型接地极</w:t>
                      </w:r>
                    </w:p>
                  </w:txbxContent>
                </v:textbox>
              </v:shape>
            </w:pict>
          </mc:Fallback>
        </mc:AlternateContent>
      </w:r>
      <w:r>
        <w:rPr>
          <w:rFonts w:ascii="Times New Roman"/>
          <w:color w:val="000000"/>
        </w:rPr>
        <mc:AlternateContent>
          <mc:Choice Requires="wps">
            <w:drawing>
              <wp:anchor distT="0" distB="0" distL="114300" distR="114300" simplePos="0" relativeHeight="251679744" behindDoc="0" locked="0" layoutInCell="1" allowOverlap="1">
                <wp:simplePos x="0" y="0"/>
                <wp:positionH relativeFrom="column">
                  <wp:posOffset>35560</wp:posOffset>
                </wp:positionH>
                <wp:positionV relativeFrom="paragraph">
                  <wp:posOffset>40005</wp:posOffset>
                </wp:positionV>
                <wp:extent cx="1468120" cy="285750"/>
                <wp:effectExtent l="4445" t="4445" r="13335" b="14605"/>
                <wp:wrapNone/>
                <wp:docPr id="60" name="文本框 60"/>
                <wp:cNvGraphicFramePr/>
                <a:graphic xmlns:a="http://schemas.openxmlformats.org/drawingml/2006/main">
                  <a:graphicData uri="http://schemas.microsoft.com/office/word/2010/wordprocessingShape">
                    <wps:wsp>
                      <wps:cNvSpPr txBox="1"/>
                      <wps:spPr>
                        <a:xfrm>
                          <a:off x="0" y="0"/>
                          <a:ext cx="146812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B型基础接地极</w:t>
                            </w:r>
                          </w:p>
                        </w:txbxContent>
                      </wps:txbx>
                      <wps:bodyPr lIns="0" tIns="36000" rIns="0" bIns="0" upright="1"/>
                    </wps:wsp>
                  </a:graphicData>
                </a:graphic>
              </wp:anchor>
            </w:drawing>
          </mc:Choice>
          <mc:Fallback>
            <w:pict>
              <v:shape id="_x0000_s1026" o:spid="_x0000_s1026" o:spt="202" type="#_x0000_t202" style="position:absolute;left:0pt;margin-left:2.8pt;margin-top:3.15pt;height:22.5pt;width:115.6pt;z-index:251679744;mso-width-relative:page;mso-height-relative:page;" fillcolor="#FFFFFF" filled="t" stroked="t" coordsize="21600,21600" o:gfxdata="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nOX4B1wAA&#10;AAYBAAAPAAAAAAAAAAEAIAAAACIAAABkcnMvZG93bnJldi54bWxQSwECFAAUAAAACACHTuJAey8w&#10;eR8CAABgBAAADgAAAAAAAAABACAAAAAmAQAAZHJzL2Uyb0RvYy54bWxQSwUGAAAAAAYABgBZAQAA&#10;twU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B型基础接地极</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9200" behindDoc="0" locked="0" layoutInCell="1" allowOverlap="1">
                <wp:simplePos x="0" y="0"/>
                <wp:positionH relativeFrom="column">
                  <wp:posOffset>2524760</wp:posOffset>
                </wp:positionH>
                <wp:positionV relativeFrom="paragraph">
                  <wp:posOffset>91440</wp:posOffset>
                </wp:positionV>
                <wp:extent cx="85090" cy="85090"/>
                <wp:effectExtent l="4445" t="4445" r="5715" b="5715"/>
                <wp:wrapNone/>
                <wp:docPr id="65" name="椭圆 65"/>
                <wp:cNvGraphicFramePr/>
                <a:graphic xmlns:a="http://schemas.openxmlformats.org/drawingml/2006/main">
                  <a:graphicData uri="http://schemas.microsoft.com/office/word/2010/wordprocessingShape">
                    <wps:wsp>
                      <wps:cNvSpPr/>
                      <wps:spPr>
                        <a:xfrm>
                          <a:off x="0" y="0"/>
                          <a:ext cx="85090" cy="85090"/>
                        </a:xfrm>
                        <a:prstGeom prst="ellipse">
                          <a:avLst/>
                        </a:prstGeom>
                        <a:solidFill>
                          <a:srgbClr val="000000"/>
                        </a:solidFill>
                        <a:ln w="9525" cap="flat" cmpd="sng">
                          <a:solidFill>
                            <a:srgbClr val="800000"/>
                          </a:solidFill>
                          <a:prstDash val="solid"/>
                          <a:headEnd type="none" w="med" len="med"/>
                          <a:tailEnd type="none" w="med" len="med"/>
                        </a:ln>
                      </wps:spPr>
                      <wps:bodyPr lIns="0" tIns="0" rIns="0" bIns="0" upright="1"/>
                    </wps:wsp>
                  </a:graphicData>
                </a:graphic>
              </wp:anchor>
            </w:drawing>
          </mc:Choice>
          <mc:Fallback>
            <w:pict>
              <v:shape id="_x0000_s1026" o:spid="_x0000_s1026" o:spt="3" type="#_x0000_t3" style="position:absolute;left:0pt;margin-left:198.8pt;margin-top:7.2pt;height:6.7pt;width:6.7pt;z-index:251699200;mso-width-relative:page;mso-height-relative:page;" fillcolor="#000000" filled="t" stroked="t" coordsize="21600,21600" o:gfxdata="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tSjGtgAAAAJAQAADwAAAAAAAAABACAAAAAiAAAAZHJzL2Rv&#10;d25yZXYueG1sUEsBAhQAFAAAAAgAh07iQAs+rMkBAgAAOgQAAA4AAAAAAAAAAQAgAAAAJwEAAGRy&#10;cy9lMm9Eb2MueG1sUEsFBgAAAAAGAAYAWQEAAJoFAAAAAA==&#10;">
                <v:fill on="t" focussize="0,0"/>
                <v:stroke color="#800000" joinstyle="round"/>
                <v:imagedata o:title=""/>
                <o:lock v:ext="edit" aspectratio="f"/>
                <v:textbox inset="0mm,0mm,0mm,0mm"/>
              </v:shape>
            </w:pict>
          </mc:Fallback>
        </mc:AlternateContent>
      </w: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86912" behindDoc="0" locked="0" layoutInCell="1" allowOverlap="1">
                <wp:simplePos x="0" y="0"/>
                <wp:positionH relativeFrom="column">
                  <wp:posOffset>1530350</wp:posOffset>
                </wp:positionH>
                <wp:positionV relativeFrom="paragraph">
                  <wp:posOffset>55245</wp:posOffset>
                </wp:positionV>
                <wp:extent cx="2181860" cy="238125"/>
                <wp:effectExtent l="4445" t="4445" r="23495" b="5080"/>
                <wp:wrapNone/>
                <wp:docPr id="22" name="文本框 22"/>
                <wp:cNvGraphicFramePr/>
                <a:graphic xmlns:a="http://schemas.openxmlformats.org/drawingml/2006/main">
                  <a:graphicData uri="http://schemas.microsoft.com/office/word/2010/wordprocessingShape">
                    <wps:wsp>
                      <wps:cNvSpPr txBox="1"/>
                      <wps:spPr>
                        <a:xfrm>
                          <a:off x="0" y="0"/>
                          <a:ext cx="2181860" cy="2381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内部LPS设计</w:t>
                            </w:r>
                          </w:p>
                        </w:txbxContent>
                      </wps:txbx>
                      <wps:bodyPr lIns="0" tIns="36000" rIns="0" bIns="0" upright="1"/>
                    </wps:wsp>
                  </a:graphicData>
                </a:graphic>
              </wp:anchor>
            </w:drawing>
          </mc:Choice>
          <mc:Fallback>
            <w:pict>
              <v:shape id="_x0000_s1026" o:spid="_x0000_s1026" o:spt="202" type="#_x0000_t202" style="position:absolute;left:0pt;margin-left:120.5pt;margin-top:4.35pt;height:18.75pt;width:171.8pt;z-index:251686912;mso-width-relative:page;mso-height-relative:page;" fillcolor="#FFFFFF" filled="t" stroked="t" coordsize="21600,21600" o:gfxdata="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7flwnZ&#10;AAAACAEAAA8AAAAAAAAAAQAgAAAAIgAAAGRycy9kb3ducmV2LnhtbFBLAQIUABQAAAAIAIdO4kCQ&#10;f91gHwIAAGAEAAAOAAAAAAAAAAEAIAAAACgBAABkcnMvZTJvRG9jLnhtbFBLBQYAAAAABgAGAFkB&#10;AAC5BQ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内部LPS设计</w:t>
                      </w:r>
                    </w:p>
                  </w:txbxContent>
                </v:textbox>
              </v:shape>
            </w:pict>
          </mc:Fallback>
        </mc:AlternateContent>
      </w:r>
      <w:r>
        <w:rPr>
          <w:rFonts w:ascii="Times New Roman"/>
          <w:color w:val="000000"/>
        </w:rPr>
        <mc:AlternateContent>
          <mc:Choice Requires="wps">
            <w:drawing>
              <wp:anchor distT="0" distB="0" distL="114300" distR="114300" simplePos="0" relativeHeight="251660288" behindDoc="0" locked="0" layoutInCell="1" allowOverlap="1">
                <wp:simplePos x="0" y="0"/>
                <wp:positionH relativeFrom="column">
                  <wp:posOffset>539750</wp:posOffset>
                </wp:positionH>
                <wp:positionV relativeFrom="paragraph">
                  <wp:posOffset>167640</wp:posOffset>
                </wp:positionV>
                <wp:extent cx="4191000" cy="790575"/>
                <wp:effectExtent l="5080" t="4445" r="13970" b="5080"/>
                <wp:wrapNone/>
                <wp:docPr id="23" name="矩形 23"/>
                <wp:cNvGraphicFramePr/>
                <a:graphic xmlns:a="http://schemas.openxmlformats.org/drawingml/2006/main">
                  <a:graphicData uri="http://schemas.microsoft.com/office/word/2010/wordprocessingShape">
                    <wps:wsp>
                      <wps:cNvSpPr/>
                      <wps:spPr>
                        <a:xfrm>
                          <a:off x="0" y="0"/>
                          <a:ext cx="4191000" cy="790575"/>
                        </a:xfrm>
                        <a:prstGeom prst="rect">
                          <a:avLst/>
                        </a:prstGeom>
                        <a:solidFill>
                          <a:srgbClr val="FFFFFF"/>
                        </a:solidFill>
                        <a:ln w="9525" cap="flat" cmpd="sng">
                          <a:solidFill>
                            <a:srgbClr val="000000"/>
                          </a:solidFill>
                          <a:prstDash val="solid"/>
                          <a:miter/>
                          <a:headEnd type="none" w="med" len="med"/>
                          <a:tailEnd type="none" w="med" len="med"/>
                        </a:ln>
                      </wps:spPr>
                      <wps:bodyPr lIns="0" tIns="0" rIns="0" bIns="0" upright="1"/>
                    </wps:wsp>
                  </a:graphicData>
                </a:graphic>
              </wp:anchor>
            </w:drawing>
          </mc:Choice>
          <mc:Fallback>
            <w:pict>
              <v:rect id="_x0000_s1026" o:spid="_x0000_s1026" o:spt="1" style="position:absolute;left:0pt;margin-left:42.5pt;margin-top:13.2pt;height:62.25pt;width:330pt;z-index:251660288;mso-width-relative:page;mso-height-relative:page;" fillcolor="#FFFFFF" filled="t" stroked="t" coordsize="21600,21600" o:gfxdata="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YDzfjZAAAACQEAAA8AAAAAAAAAAQAg&#10;AAAAIgAAAGRycy9kb3ducmV2LnhtbFBLAQIUABQAAAAIAIdO4kC1KyZbDQIAAEQEAAAOAAAAAAAA&#10;AAEAIAAAACgBAABkcnMvZTJvRG9jLnhtbFBLBQYAAAAABgAGAFkBAACnBQAAAAA=&#10;">
                <v:fill on="t" focussize="0,0"/>
                <v:stroke color="#000000" joinstyle="miter"/>
                <v:imagedata o:title=""/>
                <o:lock v:ext="edit" aspectratio="f"/>
                <v:textbox inset="0mm,0mm,0mm,0mm"/>
              </v:rect>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89984" behindDoc="0" locked="0" layoutInCell="1" allowOverlap="1">
                <wp:simplePos x="0" y="0"/>
                <wp:positionH relativeFrom="column">
                  <wp:posOffset>3723640</wp:posOffset>
                </wp:positionH>
                <wp:positionV relativeFrom="paragraph">
                  <wp:posOffset>78105</wp:posOffset>
                </wp:positionV>
                <wp:extent cx="1459230" cy="285750"/>
                <wp:effectExtent l="4445" t="4445" r="22225" b="14605"/>
                <wp:wrapNone/>
                <wp:docPr id="67" name="文本框 67"/>
                <wp:cNvGraphicFramePr/>
                <a:graphic xmlns:a="http://schemas.openxmlformats.org/drawingml/2006/main">
                  <a:graphicData uri="http://schemas.microsoft.com/office/word/2010/wordprocessingShape">
                    <wps:wsp>
                      <wps:cNvSpPr txBox="1"/>
                      <wps:spPr>
                        <a:xfrm>
                          <a:off x="0" y="0"/>
                          <a:ext cx="145923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SPD</w:t>
                            </w:r>
                          </w:p>
                        </w:txbxContent>
                      </wps:txbx>
                      <wps:bodyPr lIns="0" tIns="36000" rIns="0" bIns="0" upright="1"/>
                    </wps:wsp>
                  </a:graphicData>
                </a:graphic>
              </wp:anchor>
            </w:drawing>
          </mc:Choice>
          <mc:Fallback>
            <w:pict>
              <v:shape id="_x0000_s1026" o:spid="_x0000_s1026" o:spt="202" type="#_x0000_t202" style="position:absolute;left:0pt;margin-left:293.2pt;margin-top:6.15pt;height:22.5pt;width:114.9pt;z-index:251689984;mso-width-relative:page;mso-height-relative:page;" fillcolor="#FFFFFF" filled="t" stroked="t" coordsize="21600,21600" o:gfxdata="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mq&#10;ot3ZAAAACQEAAA8AAAAAAAAAAQAgAAAAIgAAAGRycy9kb3ducmV2LnhtbFBLAQIUABQAAAAIAIdO&#10;4kAWfb2qIgIAAGAEAAAOAAAAAAAAAAEAIAAAACgBAABkcnMvZTJvRG9jLnhtbFBLBQYAAAAABgAG&#10;AFkBAAC8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SPD</w:t>
                      </w:r>
                    </w:p>
                  </w:txbxContent>
                </v:textbox>
              </v:shape>
            </w:pict>
          </mc:Fallback>
        </mc:AlternateContent>
      </w:r>
      <w:r>
        <w:rPr>
          <w:rFonts w:ascii="Times New Roman"/>
          <w:color w:val="000000"/>
        </w:rPr>
        <mc:AlternateContent>
          <mc:Choice Requires="wps">
            <w:drawing>
              <wp:anchor distT="0" distB="0" distL="114300" distR="114300" simplePos="0" relativeHeight="251688960" behindDoc="0" locked="0" layoutInCell="1" allowOverlap="1">
                <wp:simplePos x="0" y="0"/>
                <wp:positionH relativeFrom="column">
                  <wp:posOffset>1902460</wp:posOffset>
                </wp:positionH>
                <wp:positionV relativeFrom="paragraph">
                  <wp:posOffset>68580</wp:posOffset>
                </wp:positionV>
                <wp:extent cx="1450340" cy="285750"/>
                <wp:effectExtent l="4445" t="4445" r="12065" b="14605"/>
                <wp:wrapNone/>
                <wp:docPr id="72" name="文本框 72"/>
                <wp:cNvGraphicFramePr/>
                <a:graphic xmlns:a="http://schemas.openxmlformats.org/drawingml/2006/main">
                  <a:graphicData uri="http://schemas.microsoft.com/office/word/2010/wordprocessingShape">
                    <wps:wsp>
                      <wps:cNvSpPr txBox="1"/>
                      <wps:spPr>
                        <a:xfrm>
                          <a:off x="0" y="0"/>
                          <a:ext cx="145034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距离和电缆布线路径</w:t>
                            </w:r>
                          </w:p>
                        </w:txbxContent>
                      </wps:txbx>
                      <wps:bodyPr lIns="0" tIns="36000" rIns="0" bIns="0" upright="1"/>
                    </wps:wsp>
                  </a:graphicData>
                </a:graphic>
              </wp:anchor>
            </w:drawing>
          </mc:Choice>
          <mc:Fallback>
            <w:pict>
              <v:shape id="_x0000_s1026" o:spid="_x0000_s1026" o:spt="202" type="#_x0000_t202" style="position:absolute;left:0pt;margin-left:149.8pt;margin-top:5.4pt;height:22.5pt;width:114.2pt;z-index:251688960;mso-width-relative:page;mso-height-relative:page;" fillcolor="#FFFFFF" filled="t" stroked="t" coordsize="21600,21600" o:gfxdata="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s2&#10;vdjZAAAACQEAAA8AAAAAAAAAAQAgAAAAIgAAAGRycy9kb3ducmV2LnhtbFBLAQIUABQAAAAIAIdO&#10;4kC49/DVIgIAAGAEAAAOAAAAAAAAAAEAIAAAACgBAABkcnMvZTJvRG9jLnhtbFBLBQYAAAAABgAG&#10;AFkBAAC8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距离和电缆布线路径</w:t>
                      </w:r>
                    </w:p>
                  </w:txbxContent>
                </v:textbox>
              </v:shape>
            </w:pict>
          </mc:Fallback>
        </mc:AlternateContent>
      </w:r>
      <w:r>
        <w:rPr>
          <w:rFonts w:ascii="Times New Roman"/>
          <w:color w:val="000000"/>
        </w:rPr>
        <mc:AlternateContent>
          <mc:Choice Requires="wps">
            <w:drawing>
              <wp:anchor distT="0" distB="0" distL="114300" distR="114300" simplePos="0" relativeHeight="251687936" behindDoc="0" locked="0" layoutInCell="1" allowOverlap="1">
                <wp:simplePos x="0" y="0"/>
                <wp:positionH relativeFrom="column">
                  <wp:posOffset>45720</wp:posOffset>
                </wp:positionH>
                <wp:positionV relativeFrom="paragraph">
                  <wp:posOffset>68580</wp:posOffset>
                </wp:positionV>
                <wp:extent cx="1468120" cy="285750"/>
                <wp:effectExtent l="4445" t="4445" r="13335" b="14605"/>
                <wp:wrapNone/>
                <wp:docPr id="70" name="文本框 70"/>
                <wp:cNvGraphicFramePr/>
                <a:graphic xmlns:a="http://schemas.openxmlformats.org/drawingml/2006/main">
                  <a:graphicData uri="http://schemas.microsoft.com/office/word/2010/wordprocessingShape">
                    <wps:wsp>
                      <wps:cNvSpPr txBox="1"/>
                      <wps:spPr>
                        <a:xfrm>
                          <a:off x="0" y="0"/>
                          <a:ext cx="1468120"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color w:val="000000"/>
                                <w:sz w:val="24"/>
                                <w:szCs w:val="24"/>
                              </w:rPr>
                            </w:pPr>
                            <w:r>
                              <w:rPr>
                                <w:rFonts w:hint="eastAsia"/>
                                <w:color w:val="000000"/>
                                <w:sz w:val="24"/>
                                <w:szCs w:val="24"/>
                              </w:rPr>
                              <w:t>连接或屏蔽</w:t>
                            </w:r>
                          </w:p>
                        </w:txbxContent>
                      </wps:txbx>
                      <wps:bodyPr lIns="0" tIns="36000" rIns="0" bIns="0" upright="1"/>
                    </wps:wsp>
                  </a:graphicData>
                </a:graphic>
              </wp:anchor>
            </w:drawing>
          </mc:Choice>
          <mc:Fallback>
            <w:pict>
              <v:shape id="_x0000_s1026" o:spid="_x0000_s1026" o:spt="202" type="#_x0000_t202" style="position:absolute;left:0pt;margin-left:3.6pt;margin-top:5.4pt;height:22.5pt;width:115.6pt;z-index:251687936;mso-width-relative:page;mso-height-relative:page;" fillcolor="#FFFFFF" filled="t" stroked="t" coordsize="21600,21600" o:gfxdata="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9K6rLY&#10;AAAABwEAAA8AAAAAAAAAAQAgAAAAIgAAAGRycy9kb3ducmV2LnhtbFBLAQIUABQAAAAIAIdO4kBS&#10;AMBzIAIAAGAEAAAOAAAAAAAAAAEAIAAAACcBAABkcnMvZTJvRG9jLnhtbFBLBQYAAAAABgAGAFkB&#10;AAC5BQAAAAA=&#10;">
                <v:fill on="t" focussize="0,0"/>
                <v:stroke color="#000000" joinstyle="miter"/>
                <v:imagedata o:title=""/>
                <o:lock v:ext="edit" aspectratio="f"/>
                <v:textbox inset="0mm,1mm,0mm,0mm">
                  <w:txbxContent>
                    <w:p>
                      <w:pPr>
                        <w:snapToGrid w:val="0"/>
                        <w:jc w:val="center"/>
                        <w:rPr>
                          <w:color w:val="000000"/>
                          <w:sz w:val="24"/>
                          <w:szCs w:val="24"/>
                        </w:rPr>
                      </w:pPr>
                      <w:r>
                        <w:rPr>
                          <w:rFonts w:hint="eastAsia"/>
                          <w:color w:val="000000"/>
                          <w:sz w:val="24"/>
                          <w:szCs w:val="24"/>
                        </w:rPr>
                        <w:t>连接或屏蔽</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p>
    <w:p>
      <w:pPr>
        <w:pStyle w:val="10"/>
        <w:ind w:firstLine="0" w:firstLineChars="0"/>
        <w:jc w:val="center"/>
        <w:rPr>
          <w:rFonts w:ascii="Times New Roman"/>
          <w:color w:val="000000"/>
        </w:rPr>
      </w:pPr>
      <w:r>
        <w:rPr>
          <w:rFonts w:ascii="Times New Roman"/>
          <w:color w:val="000000"/>
        </w:rPr>
        <mc:AlternateContent>
          <mc:Choice Requires="wps">
            <w:drawing>
              <wp:anchor distT="0" distB="0" distL="114300" distR="114300" simplePos="0" relativeHeight="251691008" behindDoc="0" locked="0" layoutInCell="1" allowOverlap="1">
                <wp:simplePos x="0" y="0"/>
                <wp:positionH relativeFrom="column">
                  <wp:posOffset>1117600</wp:posOffset>
                </wp:positionH>
                <wp:positionV relativeFrom="paragraph">
                  <wp:posOffset>112395</wp:posOffset>
                </wp:positionV>
                <wp:extent cx="2886710" cy="295275"/>
                <wp:effectExtent l="4445" t="4445" r="23495" b="5080"/>
                <wp:wrapNone/>
                <wp:docPr id="73" name="文本框 73"/>
                <wp:cNvGraphicFramePr/>
                <a:graphic xmlns:a="http://schemas.openxmlformats.org/drawingml/2006/main">
                  <a:graphicData uri="http://schemas.microsoft.com/office/word/2010/wordprocessingShape">
                    <wps:wsp>
                      <wps:cNvSpPr txBox="1"/>
                      <wps:spPr>
                        <a:xfrm>
                          <a:off x="0" y="0"/>
                          <a:ext cx="288671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szCs w:val="24"/>
                              </w:rPr>
                            </w:pPr>
                            <w:r>
                              <w:rPr>
                                <w:rFonts w:hint="eastAsia"/>
                                <w:color w:val="000000"/>
                                <w:sz w:val="24"/>
                                <w:szCs w:val="24"/>
                              </w:rPr>
                              <w:t>LPS设计图纸及技术要求</w:t>
                            </w:r>
                          </w:p>
                        </w:txbxContent>
                      </wps:txbx>
                      <wps:bodyPr lIns="0" tIns="36000" rIns="0" bIns="0" upright="1"/>
                    </wps:wsp>
                  </a:graphicData>
                </a:graphic>
              </wp:anchor>
            </w:drawing>
          </mc:Choice>
          <mc:Fallback>
            <w:pict>
              <v:shape id="_x0000_s1026" o:spid="_x0000_s1026" o:spt="202" type="#_x0000_t202" style="position:absolute;left:0pt;margin-left:88pt;margin-top:8.85pt;height:23.25pt;width:227.3pt;z-index:251691008;mso-width-relative:page;mso-height-relative:page;" fillcolor="#FFFFFF" filled="t" stroked="t" coordsize="21600,21600" o:gfxdata="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KhVCHZ&#10;AAAACQEAAA8AAAAAAAAAAQAgAAAAIgAAAGRycy9kb3ducmV2LnhtbFBLAQIUABQAAAAIAIdO4kCJ&#10;IMQGHwIAAGAEAAAOAAAAAAAAAAEAIAAAACgBAABkcnMvZTJvRG9jLnhtbFBLBQYAAAAABgAGAFkB&#10;AAC5BQAAAAA=&#10;">
                <v:fill on="t" focussize="0,0"/>
                <v:stroke color="#000000" joinstyle="miter"/>
                <v:imagedata o:title=""/>
                <o:lock v:ext="edit" aspectratio="f"/>
                <v:textbox inset="0mm,1mm,0mm,0mm">
                  <w:txbxContent>
                    <w:p>
                      <w:pPr>
                        <w:jc w:val="center"/>
                        <w:rPr>
                          <w:color w:val="000000"/>
                          <w:sz w:val="24"/>
                          <w:szCs w:val="24"/>
                        </w:rPr>
                      </w:pPr>
                      <w:r>
                        <w:rPr>
                          <w:rFonts w:hint="eastAsia"/>
                          <w:color w:val="000000"/>
                          <w:sz w:val="24"/>
                          <w:szCs w:val="24"/>
                        </w:rPr>
                        <w:t>LPS设计图纸及技术要求</w:t>
                      </w:r>
                    </w:p>
                  </w:txbxContent>
                </v:textbox>
              </v:shape>
            </w:pict>
          </mc:Fallback>
        </mc:AlternateContent>
      </w:r>
    </w:p>
    <w:p>
      <w:pPr>
        <w:pStyle w:val="10"/>
        <w:ind w:firstLine="0" w:firstLineChars="0"/>
        <w:jc w:val="center"/>
        <w:rPr>
          <w:rFonts w:ascii="Times New Roman"/>
          <w:color w:val="000000"/>
        </w:rPr>
      </w:pPr>
    </w:p>
    <w:p>
      <w:pPr>
        <w:pStyle w:val="10"/>
        <w:ind w:firstLine="0" w:firstLineChars="0"/>
        <w:jc w:val="center"/>
        <w:rPr>
          <w:rFonts w:ascii="Times New Roman"/>
          <w:color w:val="000000"/>
        </w:rPr>
      </w:pPr>
    </w:p>
    <w:p>
      <w:pPr>
        <w:pStyle w:val="11"/>
        <w:numPr>
          <w:ilvl w:val="0"/>
          <w:numId w:val="11"/>
        </w:numPr>
        <w:rPr>
          <w:color w:val="000000"/>
        </w:rPr>
      </w:pPr>
      <w:r>
        <w:rPr>
          <w:color w:val="000000"/>
        </w:rPr>
        <mc:AlternateContent>
          <mc:Choice Requires="wps">
            <w:drawing>
              <wp:anchor distT="0" distB="0" distL="114300" distR="114300" simplePos="0" relativeHeight="251659264" behindDoc="0" locked="0" layoutInCell="1" allowOverlap="1">
                <wp:simplePos x="0" y="0"/>
                <wp:positionH relativeFrom="column">
                  <wp:posOffset>2990850</wp:posOffset>
                </wp:positionH>
                <wp:positionV relativeFrom="paragraph">
                  <wp:posOffset>495300</wp:posOffset>
                </wp:positionV>
                <wp:extent cx="0" cy="1828800"/>
                <wp:effectExtent l="0" t="0" r="0" b="0"/>
                <wp:wrapNone/>
                <wp:docPr id="71" name="直接连接符 71"/>
                <wp:cNvGraphicFramePr/>
                <a:graphic xmlns:a="http://schemas.openxmlformats.org/drawingml/2006/main">
                  <a:graphicData uri="http://schemas.microsoft.com/office/word/2010/wordprocessingShape">
                    <wps:wsp>
                      <wps:cNvCnPr/>
                      <wps:spPr>
                        <a:xfrm>
                          <a:off x="0" y="0"/>
                          <a:ext cx="0" cy="1828800"/>
                        </a:xfrm>
                        <a:prstGeom prst="line">
                          <a:avLst/>
                        </a:prstGeom>
                        <a:ln>
                          <a:noFill/>
                        </a:ln>
                      </wps:spPr>
                      <wps:bodyPr/>
                    </wps:wsp>
                  </a:graphicData>
                </a:graphic>
              </wp:anchor>
            </w:drawing>
          </mc:Choice>
          <mc:Fallback>
            <w:pict>
              <v:line id="_x0000_s1026" o:spid="_x0000_s1026" o:spt="20" style="position:absolute;left:0pt;margin-left:235.5pt;margin-top:39pt;height:144pt;width:0pt;z-index:251659264;mso-width-relative:page;mso-height-relative:page;" filled="f" stroked="f" coordsize="21600,21600" o:gfxdata="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Fu2FOLYAAAACgEAAA8AAAAAAAAAAQAgAAAA&#10;IgAAAGRycy9kb3ducmV2LnhtbFBLAQIUABQAAAAIAIdO4kAW4UJSmQEAACUDAAAOAAAAAAAAAAEA&#10;IAAAACcBAABkcnMvZTJvRG9jLnhtbFBLBQYAAAAABgAGAFkBAAAyBQAAAAA=&#10;">
                <v:fill on="f" focussize="0,0"/>
                <v:stroke on="f"/>
                <v:imagedata o:title=""/>
                <o:lock v:ext="edit" aspectratio="f"/>
              </v:line>
            </w:pict>
          </mc:Fallback>
        </mc:AlternateContent>
      </w:r>
      <w:r>
        <w:rPr>
          <w:color w:val="000000"/>
        </w:rPr>
        <w:t>要求建筑师、电气工程师和防雷设计人员全面合作。</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第E.1条</w:t>
      </w:r>
    </w:p>
    <w:p>
      <w:pPr>
        <w:pStyle w:val="5"/>
        <w:spacing w:before="0" w:beforeAutospacing="0" w:after="0" w:afterAutospacing="0" w:line="400" w:lineRule="exact"/>
        <w:rPr>
          <w:rFonts w:ascii="Times New Roman" w:hAnsi="Times New Roman" w:eastAsia="黑体"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LPS防腐蚀的一般要求是什么？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1）在钢筋连接导体穿过混凝土墙的地方，应特别考虑化学腐蚀的防护。</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2）最简单的防腐蚀措施是在墙体（墙体内或墙体外）出口点附近，使用50mm及以上的硅胶或沥青涂层。</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铜连接导体穿过混凝土墙的地方，如果采用实心导体、专用连接点、PVC封装或绝缘导体，则没有被腐蚀的危险。对于符合要求的不锈钢连接导体，不需要采取防腐蚀措施。在极端腐蚀性大气状况下，墙体突出的连接导体推荐使用不锈钢。（混凝土外部的镀锌钢与钢筋的直接接触，在特定环境下，可能会破坏混凝土。）</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4）当使用铸入型螺套或低碳钢部件时，应注意墙体外的防腐蚀问题。应使用齿形锁紧垫圈，通过螺母的保护层来进行电气接触。</w:t>
      </w:r>
    </w:p>
    <w:p>
      <w:pPr>
        <w:pStyle w:val="5"/>
        <w:spacing w:before="0" w:beforeAutospacing="0" w:after="0" w:afterAutospacing="0" w:line="400" w:lineRule="exact"/>
        <w:ind w:firstLine="240" w:firstLineChars="100"/>
        <w:rPr>
          <w:rFonts w:ascii="Times New Roman" w:hAnsi="Times New Roman" w:eastAsia="黑体"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5《雷电防护 第3部分：建筑物的物理损坏和生命危险</w:t>
      </w:r>
      <w:r>
        <w:rPr>
          <w:rFonts w:ascii="Times New Roman" w:hAnsi="Times New Roman" w:cs="Times New Roman"/>
          <w:color w:val="000000"/>
        </w:rPr>
        <w:t>》</w:t>
      </w:r>
      <w:r>
        <w:rPr>
          <w:rFonts w:hint="eastAsia" w:ascii="Times New Roman" w:hAnsi="Times New Roman" w:eastAsia="黑体" w:cs="Times New Roman"/>
          <w:color w:val="000000"/>
        </w:rPr>
        <w:t>第E.4.3.5条</w:t>
      </w:r>
    </w:p>
    <w:p>
      <w:pPr>
        <w:pStyle w:val="5"/>
        <w:spacing w:before="0" w:beforeAutospacing="0" w:after="0" w:afterAutospacing="0" w:line="400" w:lineRule="exact"/>
        <w:ind w:firstLine="240" w:firstLineChars="100"/>
        <w:rPr>
          <w:rFonts w:ascii="Times New Roman" w:hAnsi="Times New Roman" w:eastAsia="黑体"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SPM的设计和安装的一般要求是什么？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1）SPM的设计应由雷电和浪涌保护的专业人员完成，这些专业人员拥有广泛的电磁兼容（EMC）知识和安装实践经验。</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对LEMP的防护基于雷电防护区（LPZ）的概念：包含被保护系统的空间可划分成若干个LPZ。这些区域是理论上指定的空间（或内部系统）的一部分，某空间的LEMP严重程度和该空间的内部系统的耐受水平相匹配。根据LEMP强度的显著变化划分相继的区域。LPZ的边界由采用的防护措施来定义。</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第4.1条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对LEMP 的基本防护措施包括什么？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1）接地和搭接：接地装置将雷电流传导并泄放到大地；搭接网络将最大程度地降低电位差，减少磁场。</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2）磁屏蔽和布线：空间屏蔽衰减了雷电直击建筑物或其附近而在LPZ内部产生的磁场，并减少了内部浪涌。使用屏蔽电缆或屏蔽电缆管道屏蔽内部线路，最大限度地减少了感应浪涌。内部线路合理布线能够最大限度地减少感应回路，从而减小内部浪涌。进入建筑物的外部线路屏蔽减少了传导到内部系统的浪涌。 </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协调配合的SPD防护：协调配合的SPD防护限制了外部和内部浪涌。应始终确保接地和连接，特别是在进入建筑物的入口处，将每个导电设施直接或通过等电位连接的SPD进行连接。内部系统对浪涌进行防护需要协调配合的SPD防护。</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4）其它LEMP防护措施可以单独或配合使用。</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5）LEMP防护措施应能耐受安装地点的各种工况影响（例如，温度、湿度、大气污染、震动、电压和电流的影响）。</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6）确定选择最合适的LEMP防护措施，应进行风险评估，充分考虑技术和经济因素。</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第4.4条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作图法描述工厂的网格形接地装置。</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pStyle w:val="10"/>
        <w:ind w:firstLine="0" w:firstLineChars="0"/>
        <w:jc w:val="center"/>
        <w:rPr>
          <w:rFonts w:ascii="Times New Roman"/>
          <w:lang w:val="en-GB"/>
        </w:rPr>
      </w:pPr>
      <w:r>
        <w:rPr>
          <w:rFonts w:hint="eastAsia" w:ascii="Times New Roman"/>
          <w:color w:val="000000"/>
          <w:sz w:val="24"/>
          <w:szCs w:val="24"/>
        </w:rPr>
        <w:t>答</w:t>
      </w:r>
      <w:r>
        <w:rPr>
          <w:rFonts w:ascii="Times New Roman"/>
        </w:rPr>
        <w:drawing>
          <wp:inline distT="0" distB="0" distL="114300" distR="114300">
            <wp:extent cx="4465955" cy="4314825"/>
            <wp:effectExtent l="0" t="0" r="10795" b="9525"/>
            <wp:docPr id="180" name="图片 99" descr="fig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99" descr="fig08"/>
                    <pic:cNvPicPr>
                      <a:picLocks noChangeAspect="1"/>
                    </pic:cNvPicPr>
                  </pic:nvPicPr>
                  <pic:blipFill>
                    <a:blip r:embed="rId13"/>
                    <a:stretch>
                      <a:fillRect/>
                    </a:stretch>
                  </pic:blipFill>
                  <pic:spPr>
                    <a:xfrm>
                      <a:off x="0" y="0"/>
                      <a:ext cx="4465955" cy="4314825"/>
                    </a:xfrm>
                    <a:prstGeom prst="rect">
                      <a:avLst/>
                    </a:prstGeom>
                    <a:noFill/>
                    <a:ln>
                      <a:noFill/>
                    </a:ln>
                  </pic:spPr>
                </pic:pic>
              </a:graphicData>
            </a:graphic>
          </wp:inline>
        </w:drawing>
      </w:r>
    </w:p>
    <w:p>
      <w:pPr>
        <w:pStyle w:val="10"/>
        <w:ind w:firstLine="0" w:firstLineChars="0"/>
        <w:rPr>
          <w:rFonts w:ascii="Times New Roman"/>
          <w:lang w:val="en-GB"/>
        </w:rPr>
      </w:pPr>
      <w:r>
        <w:rPr>
          <w:rFonts w:ascii="Times New Roman"/>
          <w:lang w:val="en-GB"/>
        </w:rPr>
        <w:tab/>
      </w:r>
    </w:p>
    <w:p>
      <w:pPr>
        <w:pStyle w:val="12"/>
        <w:tabs>
          <w:tab w:val="left" w:pos="840"/>
        </w:tabs>
        <w:spacing w:after="0"/>
        <w:ind w:left="420" w:leftChars="200"/>
        <w:rPr>
          <w:rFonts w:ascii="Times New Roman" w:hAnsi="Times New Roman" w:cs="Times New Roman"/>
          <w:sz w:val="18"/>
          <w:lang w:val="en-US"/>
        </w:rPr>
      </w:pPr>
      <w:r>
        <w:rPr>
          <w:rFonts w:ascii="Times New Roman" w:hAnsi="Times New Roman" w:cs="Times New Roman"/>
          <w:sz w:val="18"/>
          <w:lang w:val="en-US"/>
        </w:rPr>
        <w:t>注：</w:t>
      </w:r>
      <w:r>
        <w:rPr>
          <w:rFonts w:ascii="Times New Roman" w:hAnsi="Times New Roman" w:cs="Times New Roman"/>
          <w:sz w:val="18"/>
          <w:lang w:val="en-US"/>
        </w:rPr>
        <w:tab/>
      </w:r>
      <w:r>
        <w:rPr>
          <w:rFonts w:ascii="Times New Roman" w:hAnsi="Times New Roman" w:cs="Times New Roman"/>
          <w:sz w:val="18"/>
          <w:lang w:val="en-US"/>
        </w:rPr>
        <w:t>1 具有网格型钢筋</w:t>
      </w:r>
      <w:r>
        <w:rPr>
          <w:rFonts w:hint="eastAsia" w:ascii="Times New Roman" w:hAnsi="Times New Roman" w:cs="Times New Roman"/>
          <w:sz w:val="18"/>
          <w:lang w:val="en-US"/>
        </w:rPr>
        <w:t>架</w:t>
      </w:r>
      <w:r>
        <w:rPr>
          <w:rFonts w:ascii="Times New Roman" w:hAnsi="Times New Roman" w:cs="Times New Roman"/>
          <w:sz w:val="18"/>
          <w:lang w:val="en-US"/>
        </w:rPr>
        <w:t>的建筑物</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2 工厂内部的塔</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3 孤立的设备</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4 电缆架</w:t>
      </w:r>
    </w:p>
    <w:p>
      <w:pPr>
        <w:pStyle w:val="8"/>
        <w:spacing w:line="400" w:lineRule="exact"/>
        <w:ind w:left="400" w:firstLine="480"/>
        <w:jc w:val="left"/>
        <w:rPr>
          <w:rFonts w:ascii="Times New Roman" w:hAnsi="Times New Roman"/>
          <w:color w:val="000000"/>
          <w:kern w:val="0"/>
          <w:sz w:val="24"/>
          <w:szCs w:val="24"/>
        </w:rPr>
      </w:pP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第5.2条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作图法描述利用建筑物钢筋进行等电位连接的连接方式。</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pStyle w:val="10"/>
        <w:ind w:firstLine="0" w:firstLineChars="0"/>
        <w:rPr>
          <w:rFonts w:ascii="Times New Roman"/>
        </w:rPr>
      </w:pPr>
      <w:r>
        <w:rPr>
          <w:rFonts w:ascii="Times New Roman"/>
        </w:rPr>
        <w:drawing>
          <wp:inline distT="0" distB="0" distL="114300" distR="114300">
            <wp:extent cx="5170805" cy="4430395"/>
            <wp:effectExtent l="0" t="0" r="10795" b="8255"/>
            <wp:docPr id="181" name="图片 100" descr="fig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00" descr="fig4-2-10"/>
                    <pic:cNvPicPr>
                      <a:picLocks noChangeAspect="1"/>
                    </pic:cNvPicPr>
                  </pic:nvPicPr>
                  <pic:blipFill>
                    <a:blip r:embed="rId14"/>
                    <a:stretch>
                      <a:fillRect/>
                    </a:stretch>
                  </pic:blipFill>
                  <pic:spPr>
                    <a:xfrm>
                      <a:off x="0" y="0"/>
                      <a:ext cx="5170805" cy="4430395"/>
                    </a:xfrm>
                    <a:prstGeom prst="rect">
                      <a:avLst/>
                    </a:prstGeom>
                    <a:noFill/>
                    <a:ln>
                      <a:noFill/>
                    </a:ln>
                  </pic:spPr>
                </pic:pic>
              </a:graphicData>
            </a:graphic>
          </wp:inline>
        </w:drawing>
      </w:r>
    </w:p>
    <w:p>
      <w:pPr>
        <w:pStyle w:val="12"/>
        <w:tabs>
          <w:tab w:val="left" w:pos="840"/>
        </w:tabs>
        <w:spacing w:after="0"/>
        <w:ind w:left="420" w:leftChars="200"/>
        <w:rPr>
          <w:rFonts w:ascii="Times New Roman" w:hAnsi="Times New Roman" w:cs="Times New Roman"/>
          <w:sz w:val="18"/>
          <w:lang w:val="en-US"/>
        </w:rPr>
      </w:pPr>
      <w:r>
        <w:rPr>
          <w:rFonts w:ascii="Times New Roman" w:hAnsi="Times New Roman" w:cs="Times New Roman"/>
          <w:sz w:val="18"/>
          <w:lang w:val="en-US"/>
        </w:rPr>
        <w:t>注：1 接闪器导体</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2 屋顶护墙的金属层</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3 钢筋</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4 迭加在钢筋上的网格形导体</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5 网状导体的接头</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6 为内部搭接母排准备的接头</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7 焊接或卡接</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8 任意连接</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9 混凝土中的钢筋（有迭加的网格形导体）</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10 环形接地电极（有可能有，也有可能无）</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11 基础接地体</w:t>
      </w:r>
    </w:p>
    <w:p>
      <w:pPr>
        <w:pStyle w:val="12"/>
        <w:spacing w:after="0"/>
        <w:ind w:left="840" w:leftChars="400"/>
        <w:rPr>
          <w:rFonts w:ascii="Times New Roman" w:hAnsi="Times New Roman" w:cs="Times New Roman"/>
          <w:sz w:val="18"/>
          <w:lang w:val="en-US"/>
        </w:rPr>
      </w:pP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a 迭加的网状格形导体典型的宽度为5m</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b钢筋网格的典型宽度为1m</w:t>
      </w:r>
    </w:p>
    <w:p>
      <w:pPr>
        <w:pStyle w:val="5"/>
        <w:spacing w:before="0" w:beforeAutospacing="0" w:after="0" w:afterAutospacing="0" w:line="400" w:lineRule="exact"/>
        <w:ind w:firstLine="420"/>
        <w:rPr>
          <w:rFonts w:ascii="Times New Roman" w:hAnsi="Times New Roman" w:cs="Times New Roman"/>
          <w:color w:val="000000"/>
        </w:rPr>
      </w:pPr>
      <w:bookmarkStart w:id="11" w:name="_Toc183605833"/>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第5.3条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作图法描述钢筋结构建筑物内的等电位连接方式。</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bookmarkEnd w:id="11"/>
    <w:p>
      <w:pPr>
        <w:jc w:val="center"/>
      </w:pPr>
      <w:r>
        <w:rPr>
          <w:rFonts w:hint="eastAsia" w:ascii="Times New Roman" w:hAnsi="Times New Roman"/>
          <w:color w:val="000000"/>
          <w:kern w:val="0"/>
          <w:sz w:val="24"/>
          <w:szCs w:val="24"/>
        </w:rPr>
        <w:t>答：</w:t>
      </w:r>
      <w:r>
        <w:drawing>
          <wp:inline distT="0" distB="0" distL="114300" distR="114300">
            <wp:extent cx="4152900" cy="5420360"/>
            <wp:effectExtent l="0" t="0" r="0" b="8890"/>
            <wp:docPr id="182" name="图片 101" descr="fig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1" descr="fig4-2-11"/>
                    <pic:cNvPicPr>
                      <a:picLocks noChangeAspect="1"/>
                    </pic:cNvPicPr>
                  </pic:nvPicPr>
                  <pic:blipFill>
                    <a:blip r:embed="rId15"/>
                    <a:stretch>
                      <a:fillRect/>
                    </a:stretch>
                  </pic:blipFill>
                  <pic:spPr>
                    <a:xfrm>
                      <a:off x="0" y="0"/>
                      <a:ext cx="4152900" cy="5420360"/>
                    </a:xfrm>
                    <a:prstGeom prst="rect">
                      <a:avLst/>
                    </a:prstGeom>
                    <a:noFill/>
                    <a:ln>
                      <a:noFill/>
                    </a:ln>
                  </pic:spPr>
                </pic:pic>
              </a:graphicData>
            </a:graphic>
          </wp:inline>
        </w:drawing>
      </w:r>
    </w:p>
    <w:p>
      <w:pPr>
        <w:jc w:val="center"/>
      </w:pPr>
    </w:p>
    <w:p>
      <w:pPr>
        <w:pStyle w:val="12"/>
        <w:tabs>
          <w:tab w:val="left" w:pos="840"/>
        </w:tabs>
        <w:spacing w:after="0"/>
        <w:ind w:left="420" w:leftChars="200"/>
        <w:rPr>
          <w:rFonts w:ascii="Times New Roman" w:hAnsi="Times New Roman" w:cs="Times New Roman"/>
          <w:sz w:val="18"/>
          <w:lang w:val="en-US"/>
        </w:rPr>
      </w:pPr>
      <w:r>
        <w:rPr>
          <w:rFonts w:ascii="Times New Roman" w:hAnsi="Times New Roman" w:cs="Times New Roman"/>
          <w:sz w:val="18"/>
          <w:lang w:val="en-US"/>
        </w:rPr>
        <w:t>注：1 电力设备</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2 钢梁</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3 建筑物正面的金属板</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4 搭接接头</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5 电气或电子设备</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6 搭接母排</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7 混凝土中的钢筋（有迭加的网格形导体）</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8 基础接地体</w:t>
      </w:r>
    </w:p>
    <w:p>
      <w:pPr>
        <w:pStyle w:val="12"/>
        <w:spacing w:after="0"/>
        <w:ind w:left="840" w:leftChars="400"/>
        <w:rPr>
          <w:rFonts w:ascii="Times New Roman" w:hAnsi="Times New Roman" w:cs="Times New Roman"/>
          <w:sz w:val="18"/>
          <w:lang w:val="en-US"/>
        </w:rPr>
      </w:pPr>
      <w:r>
        <w:rPr>
          <w:rFonts w:ascii="Times New Roman" w:hAnsi="Times New Roman" w:cs="Times New Roman"/>
          <w:sz w:val="18"/>
          <w:lang w:val="en-US"/>
        </w:rPr>
        <w:t>9 各种公共设施的公共入口</w:t>
      </w:r>
    </w:p>
    <w:p>
      <w:pPr>
        <w:pStyle w:val="10"/>
        <w:ind w:firstLine="480"/>
        <w:rPr>
          <w:rFonts w:ascii="Times New Roman"/>
          <w:color w:val="000000"/>
          <w:sz w:val="24"/>
          <w:szCs w:val="24"/>
        </w:rPr>
      </w:pP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第5.3条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内部系统导电部件接入连接网络的组合方式是什么样的？</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widowControl/>
        <w:jc w:val="left"/>
        <w:rPr>
          <w:rFonts w:ascii="Times New Roman" w:hAnsi="Times New Roman" w:eastAsia="黑体" w:cs="Times New Roman"/>
          <w:color w:val="000000"/>
        </w:rPr>
      </w:pPr>
      <w:r>
        <w:rPr>
          <w:rFonts w:ascii="宋体" w:hAnsi="宋体" w:eastAsia="宋体" w:cs="宋体"/>
          <w:kern w:val="0"/>
          <w:sz w:val="24"/>
          <w:szCs w:val="24"/>
        </w:rPr>
        <w:drawing>
          <wp:inline distT="0" distB="0" distL="114300" distR="114300">
            <wp:extent cx="4405630" cy="5433695"/>
            <wp:effectExtent l="0" t="0" r="13970" b="14605"/>
            <wp:docPr id="189" name="图片 10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02" descr="IMG_256"/>
                    <pic:cNvPicPr>
                      <a:picLocks noChangeAspect="1"/>
                    </pic:cNvPicPr>
                  </pic:nvPicPr>
                  <pic:blipFill>
                    <a:blip r:embed="rId16"/>
                    <a:stretch>
                      <a:fillRect/>
                    </a:stretch>
                  </pic:blipFill>
                  <pic:spPr>
                    <a:xfrm>
                      <a:off x="0" y="0"/>
                      <a:ext cx="4405630" cy="5433695"/>
                    </a:xfrm>
                    <a:prstGeom prst="rect">
                      <a:avLst/>
                    </a:prstGeom>
                    <a:noFill/>
                    <a:ln w="9525">
                      <a:noFill/>
                    </a:ln>
                  </pic:spPr>
                </pic:pic>
              </a:graphicData>
            </a:graphic>
          </wp:inline>
        </w:drawing>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第5.3条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哪些情况应接到连接排上？</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1）所有导电设施进入LPZ（直接或者通过合适的SPD进行连接）；</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2）保护地线PE；</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3）内部系统的金属部件（如机柜，机箱和机架）；</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4）建筑物外表面或者内部的磁屏蔽。</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第5.4条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仿宋_GB2312"/>
          <w:b/>
          <w:sz w:val="28"/>
          <w:szCs w:val="28"/>
        </w:rPr>
      </w:pPr>
      <w:r>
        <w:rPr>
          <w:rFonts w:hint="eastAsia" w:ascii="Times New Roman" w:hAnsi="Times New Roman" w:eastAsia="宋体" w:cs="Times New Roman"/>
          <w:b/>
          <w:color w:val="000000" w:themeColor="text1"/>
          <w:sz w:val="24"/>
          <w:szCs w:val="24"/>
          <w14:textFill>
            <w14:solidFill>
              <w14:schemeClr w14:val="tx1"/>
            </w14:solidFill>
          </w14:textFill>
        </w:rPr>
        <w:t>为了实现有效的接地，应遵守什么安装原则？</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1）所有搭接措施的基础条件是一个低阻抗的搭接网络；</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2）搭接母排通过尽可能短的路径连接到接地系统（连接导体长度小于0.5m）；</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3）搭接母排和导体的材料及尺寸必须遵守本部分的</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21714.3</w:t>
      </w:r>
      <w:r>
        <w:rPr>
          <w:rFonts w:ascii="Times New Roman" w:hAnsi="Times New Roman" w:cs="Times New Roman"/>
          <w:color w:val="000000"/>
        </w:rPr>
        <w:t>-201</w:t>
      </w:r>
      <w:r>
        <w:rPr>
          <w:rFonts w:hint="eastAsia" w:ascii="Times New Roman" w:hAnsi="Times New Roman" w:cs="Times New Roman"/>
          <w:color w:val="000000"/>
        </w:rPr>
        <w:t>5的</w:t>
      </w:r>
      <w:r>
        <w:rPr>
          <w:rFonts w:hint="eastAsia" w:ascii="Times New Roman" w:hAnsi="Times New Roman"/>
          <w:color w:val="000000"/>
        </w:rPr>
        <w:t>5.5节的要求；</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4）SPD与搭接母排和带电导体之间的连接线必须尽可能短，从而使感应电压降最小化；</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5）位于SPD后级的被保护电路，应当尽可能减小回路面积或者使用屏蔽电缆或电缆管道，从而使互感降到最低。</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第5.4条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LPZ边界处接地的一般要求是什么？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在定义了LPZ的区域，所有金属部件和设施（例如金属管道、电力线或信号线）在穿越LPZ边界时必须搭接。（对进入LPZ1区域的设施进行搭接时，应当与设施网络提供部门（如电力和电信主管部门）进行协商，因为有可能与这些部门的要求存在冲突。）</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2）搭接应当通过搭接母排完成，安装点应尽可能靠近LPZ边界上的入口处。</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如果可能的话，所有接入设施应该在同一位置进入LPZ，并连接到同一搭接母排上。如果设施通过不同位置进入LPZ，则每一个设施都应当连接到搭接母排，并且所有的搭接母排应当连接到一起。为此，建议采用环形搭接母排。</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4）在LPZ入口处，通常采用等电位搭接的SPD将接入线路（与LPZ区域内的内部系统相连）连接到搭接母排。利用互连或者延伸的LPZ可以减少SPD的数量。</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5）搭接到每个LPZ边界的屏蔽电缆或者互连金属电缆管道，可以用来将同级别的一些LPZ连接成为一个共同的LPZ，也可以用来将一个LPZ扩展到下一个LPZ的边界。</w:t>
      </w:r>
    </w:p>
    <w:p>
      <w:pPr>
        <w:pStyle w:val="5"/>
        <w:spacing w:before="0" w:beforeAutospacing="0" w:after="0" w:afterAutospacing="0" w:line="400" w:lineRule="exact"/>
        <w:ind w:firstLine="420"/>
        <w:rPr>
          <w:rFonts w:ascii="Times New Roman" w:hAnsi="Times New Roman" w:cs="Times New Roman"/>
          <w:color w:val="000000"/>
        </w:rPr>
      </w:pPr>
      <w:bookmarkStart w:id="12" w:name="_Toc183605628"/>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第5.5条</w:t>
      </w:r>
    </w:p>
    <w:p>
      <w:pPr>
        <w:pStyle w:val="5"/>
        <w:spacing w:before="0" w:beforeAutospacing="0" w:after="0" w:afterAutospacing="0" w:line="400" w:lineRule="exact"/>
        <w:ind w:firstLine="420"/>
        <w:rPr>
          <w:rFonts w:ascii="Times New Roman" w:hAnsi="Times New Roman" w:cs="Times New Roman"/>
          <w:color w:val="000000"/>
        </w:rPr>
      </w:pPr>
    </w:p>
    <w:bookmarkEnd w:id="12"/>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LPS连接部件的最小截面积分别是什么？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0" w:type="auto"/>
        <w:jc w:val="center"/>
        <w:tblLayout w:type="autofit"/>
        <w:tblCellMar>
          <w:top w:w="0" w:type="dxa"/>
          <w:left w:w="108" w:type="dxa"/>
          <w:bottom w:w="0" w:type="dxa"/>
          <w:right w:w="108" w:type="dxa"/>
        </w:tblCellMar>
      </w:tblPr>
      <w:tblGrid>
        <w:gridCol w:w="2042"/>
        <w:gridCol w:w="904"/>
        <w:gridCol w:w="846"/>
        <w:gridCol w:w="1671"/>
      </w:tblGrid>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搭接部件</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材料</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截面积（mm</w:t>
            </w:r>
            <w:r>
              <w:rPr>
                <w:sz w:val="21"/>
                <w:szCs w:val="21"/>
                <w:vertAlign w:val="superscript"/>
              </w:rPr>
              <w:t>2</w:t>
            </w:r>
            <w:r>
              <w:rPr>
                <w:sz w:val="21"/>
                <w:szCs w:val="21"/>
              </w:rPr>
              <w:t>）</w:t>
            </w: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搭接母排（铜或镀锌钢）</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铜，铁</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50</w:t>
            </w: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搭接母排之间及搭接母排与</w:t>
            </w:r>
          </w:p>
          <w:p>
            <w:pPr>
              <w:rPr>
                <w:sz w:val="21"/>
                <w:szCs w:val="21"/>
              </w:rPr>
            </w:pPr>
            <w:r>
              <w:rPr>
                <w:rFonts w:hint="eastAsia"/>
                <w:sz w:val="21"/>
                <w:szCs w:val="21"/>
              </w:rPr>
              <w:t>接地系统之间的连接导</w:t>
            </w:r>
            <w:r>
              <w:rPr>
                <w:sz w:val="21"/>
                <w:szCs w:val="21"/>
              </w:rPr>
              <w:t>体</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铜</w:t>
            </w:r>
          </w:p>
          <w:p>
            <w:pPr>
              <w:rPr>
                <w:sz w:val="21"/>
                <w:szCs w:val="21"/>
              </w:rPr>
            </w:pPr>
            <w:r>
              <w:rPr>
                <w:sz w:val="21"/>
                <w:szCs w:val="21"/>
              </w:rPr>
              <w:t>铝</w:t>
            </w:r>
          </w:p>
          <w:p>
            <w:pPr>
              <w:rPr>
                <w:sz w:val="21"/>
                <w:szCs w:val="21"/>
              </w:rPr>
            </w:pPr>
            <w:r>
              <w:rPr>
                <w:sz w:val="21"/>
                <w:szCs w:val="21"/>
              </w:rPr>
              <w:t>铁</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14</w:t>
            </w:r>
          </w:p>
          <w:p>
            <w:pPr>
              <w:rPr>
                <w:sz w:val="21"/>
                <w:szCs w:val="21"/>
              </w:rPr>
            </w:pPr>
            <w:r>
              <w:rPr>
                <w:sz w:val="21"/>
                <w:szCs w:val="21"/>
              </w:rPr>
              <w:t>22</w:t>
            </w:r>
          </w:p>
          <w:p>
            <w:pPr>
              <w:rPr>
                <w:sz w:val="21"/>
                <w:szCs w:val="21"/>
              </w:rPr>
            </w:pPr>
            <w:r>
              <w:rPr>
                <w:sz w:val="21"/>
                <w:szCs w:val="21"/>
              </w:rPr>
              <w:t>50</w:t>
            </w:r>
          </w:p>
        </w:tc>
      </w:tr>
      <w:tr>
        <w:tblPrEx>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搭接母排</w:t>
            </w:r>
            <w:r>
              <w:rPr>
                <w:sz w:val="21"/>
                <w:szCs w:val="21"/>
              </w:rPr>
              <w:t>与内部金属设施</w:t>
            </w:r>
            <w:r>
              <w:rPr>
                <w:rFonts w:hint="eastAsia"/>
                <w:sz w:val="21"/>
                <w:szCs w:val="21"/>
              </w:rPr>
              <w:t>之间</w:t>
            </w:r>
          </w:p>
          <w:p>
            <w:pPr>
              <w:rPr>
                <w:sz w:val="21"/>
                <w:szCs w:val="21"/>
              </w:rPr>
            </w:pPr>
            <w:r>
              <w:rPr>
                <w:sz w:val="21"/>
                <w:szCs w:val="21"/>
              </w:rPr>
              <w:t>的</w:t>
            </w:r>
            <w:r>
              <w:rPr>
                <w:rFonts w:hint="eastAsia"/>
                <w:sz w:val="21"/>
                <w:szCs w:val="21"/>
              </w:rPr>
              <w:t>连接</w:t>
            </w:r>
            <w:r>
              <w:rPr>
                <w:sz w:val="21"/>
                <w:szCs w:val="21"/>
              </w:rPr>
              <w:t>导体</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铜</w:t>
            </w:r>
          </w:p>
          <w:p>
            <w:pPr>
              <w:rPr>
                <w:sz w:val="21"/>
                <w:szCs w:val="21"/>
              </w:rPr>
            </w:pPr>
            <w:r>
              <w:rPr>
                <w:sz w:val="21"/>
                <w:szCs w:val="21"/>
              </w:rPr>
              <w:t>铝</w:t>
            </w:r>
          </w:p>
          <w:p>
            <w:pPr>
              <w:rPr>
                <w:sz w:val="21"/>
                <w:szCs w:val="21"/>
              </w:rPr>
            </w:pPr>
            <w:r>
              <w:rPr>
                <w:sz w:val="21"/>
                <w:szCs w:val="21"/>
              </w:rPr>
              <w:t>铁</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5</w:t>
            </w:r>
          </w:p>
          <w:p>
            <w:pPr>
              <w:rPr>
                <w:sz w:val="21"/>
                <w:szCs w:val="21"/>
              </w:rPr>
            </w:pPr>
            <w:r>
              <w:rPr>
                <w:sz w:val="21"/>
                <w:szCs w:val="21"/>
              </w:rPr>
              <w:t>8</w:t>
            </w:r>
          </w:p>
          <w:p>
            <w:pPr>
              <w:rPr>
                <w:sz w:val="21"/>
                <w:szCs w:val="21"/>
              </w:rPr>
            </w:pPr>
            <w:r>
              <w:rPr>
                <w:sz w:val="21"/>
                <w:szCs w:val="21"/>
              </w:rPr>
              <w:t>16</w:t>
            </w:r>
          </w:p>
        </w:tc>
      </w:tr>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与SPD连接的导体</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等级</w:t>
            </w:r>
            <w:r>
              <w:rPr>
                <w:sz w:val="21"/>
                <w:szCs w:val="21"/>
              </w:rPr>
              <w:t>I</w:t>
            </w:r>
          </w:p>
          <w:p>
            <w:pPr>
              <w:rPr>
                <w:sz w:val="21"/>
                <w:szCs w:val="21"/>
              </w:rPr>
            </w:pPr>
            <w:r>
              <w:rPr>
                <w:rFonts w:hint="eastAsia"/>
                <w:sz w:val="21"/>
                <w:szCs w:val="21"/>
              </w:rPr>
              <w:t>等级</w:t>
            </w:r>
            <w:r>
              <w:rPr>
                <w:sz w:val="21"/>
                <w:szCs w:val="21"/>
              </w:rPr>
              <w:t>II</w:t>
            </w:r>
          </w:p>
          <w:p>
            <w:pPr>
              <w:rPr>
                <w:sz w:val="21"/>
                <w:szCs w:val="21"/>
              </w:rPr>
            </w:pPr>
            <w:r>
              <w:rPr>
                <w:rFonts w:hint="eastAsia"/>
                <w:sz w:val="21"/>
                <w:szCs w:val="21"/>
              </w:rPr>
              <w:t>等级</w:t>
            </w:r>
            <w:r>
              <w:rPr>
                <w:sz w:val="21"/>
                <w:szCs w:val="21"/>
              </w:rPr>
              <w:t>III</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铜</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5</w:t>
            </w:r>
          </w:p>
          <w:p>
            <w:pPr>
              <w:rPr>
                <w:sz w:val="21"/>
                <w:szCs w:val="21"/>
              </w:rPr>
            </w:pPr>
            <w:r>
              <w:rPr>
                <w:sz w:val="21"/>
                <w:szCs w:val="21"/>
              </w:rPr>
              <w:t>3</w:t>
            </w:r>
          </w:p>
          <w:p>
            <w:pPr>
              <w:rPr>
                <w:sz w:val="21"/>
                <w:szCs w:val="21"/>
              </w:rPr>
            </w:pPr>
            <w:r>
              <w:rPr>
                <w:sz w:val="21"/>
                <w:szCs w:val="21"/>
              </w:rPr>
              <w:t>1</w:t>
            </w:r>
          </w:p>
        </w:tc>
      </w:tr>
      <w:tr>
        <w:tblPrEx>
          <w:tblCellMar>
            <w:top w:w="0" w:type="dxa"/>
            <w:left w:w="108" w:type="dxa"/>
            <w:bottom w:w="0" w:type="dxa"/>
            <w:right w:w="108" w:type="dxa"/>
          </w:tblCellMar>
        </w:tblPrEx>
        <w:trPr>
          <w:jc w:val="center"/>
        </w:trPr>
        <w:tc>
          <w:tcPr>
            <w:tcW w:w="0" w:type="auto"/>
            <w:gridSpan w:val="4"/>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注：</w:t>
            </w:r>
            <w:r>
              <w:rPr>
                <w:sz w:val="21"/>
                <w:szCs w:val="21"/>
              </w:rPr>
              <w:t>代替铜的其它材料应当具有等效的截面积</w:t>
            </w:r>
          </w:p>
        </w:tc>
      </w:tr>
    </w:tbl>
    <w:p>
      <w:pPr>
        <w:pStyle w:val="8"/>
        <w:spacing w:line="400" w:lineRule="exact"/>
        <w:ind w:firstLine="0" w:firstLineChars="0"/>
        <w:jc w:val="left"/>
        <w:rPr>
          <w:rFonts w:ascii="Times New Roman" w:hAnsi="Times New Roman"/>
          <w:color w:val="000000"/>
          <w:kern w:val="0"/>
          <w:sz w:val="24"/>
          <w:szCs w:val="24"/>
        </w:rPr>
      </w:pPr>
    </w:p>
    <w:p>
      <w:pPr>
        <w:pStyle w:val="5"/>
        <w:spacing w:before="0" w:beforeAutospacing="0" w:after="0" w:afterAutospacing="0" w:line="400" w:lineRule="exact"/>
        <w:ind w:firstLine="420"/>
        <w:rPr>
          <w:rFonts w:ascii="Times New Roman" w:hAnsi="Times New Roman" w:cs="Times New Roman"/>
          <w:color w:val="000000"/>
        </w:rPr>
      </w:pPr>
      <w:bookmarkStart w:id="13" w:name="_Toc183605690"/>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第5.6条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新建建筑物和既有建筑物变更结构和用途时的SPM管理计划是什么？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6"/>
        <w:tblW w:w="0" w:type="auto"/>
        <w:tblInd w:w="392" w:type="dxa"/>
        <w:tblLayout w:type="autofit"/>
        <w:tblCellMar>
          <w:top w:w="0" w:type="dxa"/>
          <w:left w:w="108" w:type="dxa"/>
          <w:bottom w:w="0" w:type="dxa"/>
          <w:right w:w="108" w:type="dxa"/>
        </w:tblCellMar>
      </w:tblPr>
      <w:tblGrid>
        <w:gridCol w:w="1083"/>
        <w:gridCol w:w="5683"/>
        <w:gridCol w:w="1364"/>
      </w:tblGrid>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步骤</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目标</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采取的措施</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vertAlign w:val="superscript"/>
              </w:rPr>
            </w:pPr>
            <w:r>
              <w:rPr>
                <w:rFonts w:hint="eastAsia"/>
                <w:sz w:val="21"/>
                <w:szCs w:val="21"/>
              </w:rPr>
              <w:t>初</w:t>
            </w:r>
            <w:r>
              <w:rPr>
                <w:sz w:val="21"/>
                <w:szCs w:val="21"/>
              </w:rPr>
              <w:t>次风险分析</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检</w:t>
            </w:r>
            <w:r>
              <w:rPr>
                <w:rFonts w:hint="eastAsia"/>
                <w:sz w:val="21"/>
                <w:szCs w:val="21"/>
              </w:rPr>
              <w:t>验</w:t>
            </w:r>
            <w:r>
              <w:rPr>
                <w:sz w:val="21"/>
                <w:szCs w:val="21"/>
              </w:rPr>
              <w:t>LEMP的防护需求</w:t>
            </w:r>
          </w:p>
          <w:p>
            <w:pPr>
              <w:rPr>
                <w:sz w:val="21"/>
                <w:szCs w:val="21"/>
              </w:rPr>
            </w:pPr>
            <w:r>
              <w:rPr>
                <w:sz w:val="21"/>
                <w:szCs w:val="21"/>
              </w:rPr>
              <w:t>如果需要，利用风险评估法选择合理的LMPS防护措施</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防雷专家</w:t>
            </w:r>
          </w:p>
          <w:p>
            <w:pPr>
              <w:rPr>
                <w:sz w:val="21"/>
                <w:szCs w:val="21"/>
              </w:rPr>
            </w:pPr>
            <w:r>
              <w:rPr>
                <w:sz w:val="21"/>
                <w:szCs w:val="21"/>
              </w:rPr>
              <w:t>业主</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末次风险分析</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再次利用风险评估</w:t>
            </w:r>
            <w:r>
              <w:rPr>
                <w:rFonts w:hint="eastAsia"/>
                <w:sz w:val="21"/>
                <w:szCs w:val="21"/>
              </w:rPr>
              <w:t>法对被</w:t>
            </w:r>
            <w:r>
              <w:rPr>
                <w:sz w:val="21"/>
                <w:szCs w:val="21"/>
              </w:rPr>
              <w:t>选</w:t>
            </w:r>
            <w:r>
              <w:rPr>
                <w:rFonts w:hint="eastAsia"/>
                <w:sz w:val="21"/>
                <w:szCs w:val="21"/>
              </w:rPr>
              <w:t>用</w:t>
            </w:r>
            <w:r>
              <w:rPr>
                <w:sz w:val="21"/>
                <w:szCs w:val="21"/>
              </w:rPr>
              <w:t>防护措施</w:t>
            </w:r>
            <w:r>
              <w:rPr>
                <w:rFonts w:hint="eastAsia"/>
                <w:sz w:val="21"/>
                <w:szCs w:val="21"/>
              </w:rPr>
              <w:t>的</w:t>
            </w:r>
            <w:r>
              <w:rPr>
                <w:sz w:val="21"/>
                <w:szCs w:val="21"/>
              </w:rPr>
              <w:t>成本效益比</w:t>
            </w:r>
            <w:r>
              <w:rPr>
                <w:rFonts w:hint="eastAsia"/>
                <w:sz w:val="21"/>
                <w:szCs w:val="21"/>
              </w:rPr>
              <w:t>进行</w:t>
            </w:r>
            <w:r>
              <w:rPr>
                <w:sz w:val="21"/>
                <w:szCs w:val="21"/>
              </w:rPr>
              <w:t>优化，同时</w:t>
            </w:r>
            <w:r>
              <w:rPr>
                <w:rFonts w:hint="eastAsia"/>
                <w:sz w:val="21"/>
                <w:szCs w:val="21"/>
              </w:rPr>
              <w:t>定义</w:t>
            </w:r>
            <w:r>
              <w:rPr>
                <w:sz w:val="21"/>
                <w:szCs w:val="21"/>
              </w:rPr>
              <w:t>：</w:t>
            </w:r>
          </w:p>
          <w:p>
            <w:pPr>
              <w:rPr>
                <w:sz w:val="21"/>
                <w:szCs w:val="21"/>
              </w:rPr>
            </w:pPr>
            <w:r>
              <w:rPr>
                <w:rFonts w:hint="eastAsia"/>
                <w:sz w:val="21"/>
                <w:szCs w:val="21"/>
              </w:rPr>
              <w:t>——</w:t>
            </w:r>
            <w:r>
              <w:rPr>
                <w:sz w:val="21"/>
                <w:szCs w:val="21"/>
              </w:rPr>
              <w:t>LPL和雷电参数</w:t>
            </w:r>
          </w:p>
          <w:p>
            <w:pPr>
              <w:rPr>
                <w:sz w:val="21"/>
                <w:szCs w:val="21"/>
              </w:rPr>
            </w:pPr>
            <w:r>
              <w:rPr>
                <w:rFonts w:hint="eastAsia"/>
                <w:sz w:val="21"/>
                <w:szCs w:val="21"/>
              </w:rPr>
              <w:t>——</w:t>
            </w:r>
            <w:r>
              <w:rPr>
                <w:sz w:val="21"/>
                <w:szCs w:val="21"/>
              </w:rPr>
              <w:t>LPZ</w:t>
            </w:r>
            <w:r>
              <w:rPr>
                <w:rFonts w:hint="eastAsia"/>
                <w:sz w:val="21"/>
                <w:szCs w:val="21"/>
              </w:rPr>
              <w:t>及其</w:t>
            </w:r>
            <w:r>
              <w:rPr>
                <w:sz w:val="21"/>
                <w:szCs w:val="21"/>
              </w:rPr>
              <w:t>边界</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防雷专家</w:t>
            </w:r>
          </w:p>
          <w:p>
            <w:pPr>
              <w:rPr>
                <w:sz w:val="21"/>
                <w:szCs w:val="21"/>
              </w:rPr>
            </w:pPr>
            <w:r>
              <w:rPr>
                <w:sz w:val="21"/>
                <w:szCs w:val="21"/>
              </w:rPr>
              <w:t>业主</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LPMS</w:t>
            </w:r>
            <w:r>
              <w:rPr>
                <w:rFonts w:hint="eastAsia"/>
                <w:sz w:val="21"/>
                <w:szCs w:val="21"/>
              </w:rPr>
              <w:t>规划</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定义</w:t>
            </w:r>
            <w:r>
              <w:rPr>
                <w:sz w:val="21"/>
                <w:szCs w:val="21"/>
              </w:rPr>
              <w:t>LPMS，包括：</w:t>
            </w:r>
          </w:p>
          <w:p>
            <w:pPr>
              <w:rPr>
                <w:sz w:val="21"/>
                <w:szCs w:val="21"/>
              </w:rPr>
            </w:pPr>
            <w:r>
              <w:rPr>
                <w:rFonts w:hint="eastAsia"/>
                <w:sz w:val="21"/>
                <w:szCs w:val="21"/>
              </w:rPr>
              <w:t>——</w:t>
            </w:r>
            <w:r>
              <w:rPr>
                <w:sz w:val="21"/>
                <w:szCs w:val="21"/>
              </w:rPr>
              <w:t>空间屏蔽措施</w:t>
            </w:r>
          </w:p>
          <w:p>
            <w:pPr>
              <w:rPr>
                <w:sz w:val="21"/>
                <w:szCs w:val="21"/>
              </w:rPr>
            </w:pPr>
            <w:r>
              <w:rPr>
                <w:rFonts w:hint="eastAsia"/>
                <w:sz w:val="21"/>
                <w:szCs w:val="21"/>
              </w:rPr>
              <w:t>——</w:t>
            </w:r>
            <w:r>
              <w:rPr>
                <w:sz w:val="21"/>
                <w:szCs w:val="21"/>
              </w:rPr>
              <w:t>搭接网</w:t>
            </w:r>
            <w:r>
              <w:rPr>
                <w:rFonts w:hint="eastAsia"/>
                <w:sz w:val="21"/>
                <w:szCs w:val="21"/>
              </w:rPr>
              <w:t>络</w:t>
            </w:r>
          </w:p>
          <w:p>
            <w:pPr>
              <w:rPr>
                <w:sz w:val="21"/>
                <w:szCs w:val="21"/>
              </w:rPr>
            </w:pPr>
            <w:r>
              <w:rPr>
                <w:rFonts w:hint="eastAsia"/>
                <w:sz w:val="21"/>
                <w:szCs w:val="21"/>
              </w:rPr>
              <w:t>——</w:t>
            </w:r>
            <w:r>
              <w:rPr>
                <w:sz w:val="21"/>
                <w:szCs w:val="21"/>
              </w:rPr>
              <w:t>接地装置</w:t>
            </w:r>
          </w:p>
          <w:p>
            <w:pPr>
              <w:rPr>
                <w:sz w:val="21"/>
                <w:szCs w:val="21"/>
              </w:rPr>
            </w:pPr>
            <w:r>
              <w:rPr>
                <w:rFonts w:hint="eastAsia"/>
                <w:sz w:val="21"/>
                <w:szCs w:val="21"/>
              </w:rPr>
              <w:t>——</w:t>
            </w:r>
            <w:r>
              <w:rPr>
                <w:sz w:val="21"/>
                <w:szCs w:val="21"/>
              </w:rPr>
              <w:t>线路屏蔽和布线</w:t>
            </w:r>
          </w:p>
          <w:p>
            <w:pPr>
              <w:rPr>
                <w:sz w:val="21"/>
                <w:szCs w:val="21"/>
              </w:rPr>
            </w:pPr>
            <w:r>
              <w:rPr>
                <w:rFonts w:hint="eastAsia"/>
                <w:sz w:val="21"/>
                <w:szCs w:val="21"/>
              </w:rPr>
              <w:t>——</w:t>
            </w:r>
            <w:r>
              <w:rPr>
                <w:sz w:val="21"/>
                <w:szCs w:val="21"/>
              </w:rPr>
              <w:t>接入设施的屏蔽</w:t>
            </w:r>
          </w:p>
          <w:p>
            <w:pPr>
              <w:rPr>
                <w:sz w:val="21"/>
                <w:szCs w:val="21"/>
              </w:rPr>
            </w:pPr>
            <w:r>
              <w:rPr>
                <w:rFonts w:hint="eastAsia"/>
                <w:sz w:val="21"/>
                <w:szCs w:val="21"/>
              </w:rPr>
              <w:t>——协调配合的</w:t>
            </w:r>
            <w:r>
              <w:rPr>
                <w:sz w:val="21"/>
                <w:szCs w:val="21"/>
              </w:rPr>
              <w:t>SPD</w:t>
            </w:r>
            <w:r>
              <w:rPr>
                <w:rFonts w:hint="eastAsia"/>
                <w:sz w:val="21"/>
                <w:szCs w:val="21"/>
              </w:rPr>
              <w:t>防</w:t>
            </w:r>
            <w:r>
              <w:rPr>
                <w:sz w:val="21"/>
                <w:szCs w:val="21"/>
              </w:rPr>
              <w:t>护</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防雷专家</w:t>
            </w:r>
          </w:p>
          <w:p>
            <w:pPr>
              <w:rPr>
                <w:sz w:val="21"/>
                <w:szCs w:val="21"/>
              </w:rPr>
            </w:pPr>
            <w:r>
              <w:rPr>
                <w:sz w:val="21"/>
                <w:szCs w:val="21"/>
              </w:rPr>
              <w:t>业主</w:t>
            </w:r>
          </w:p>
          <w:p>
            <w:pPr>
              <w:rPr>
                <w:sz w:val="21"/>
                <w:szCs w:val="21"/>
              </w:rPr>
            </w:pPr>
            <w:r>
              <w:rPr>
                <w:sz w:val="21"/>
                <w:szCs w:val="21"/>
              </w:rPr>
              <w:t>建筑师</w:t>
            </w:r>
          </w:p>
          <w:p>
            <w:pPr>
              <w:rPr>
                <w:sz w:val="21"/>
                <w:szCs w:val="21"/>
              </w:rPr>
            </w:pPr>
            <w:r>
              <w:rPr>
                <w:sz w:val="21"/>
                <w:szCs w:val="21"/>
              </w:rPr>
              <w:t>内部系统设计者</w:t>
            </w:r>
          </w:p>
          <w:p>
            <w:pPr>
              <w:rPr>
                <w:sz w:val="21"/>
                <w:szCs w:val="21"/>
              </w:rPr>
            </w:pPr>
            <w:r>
              <w:rPr>
                <w:sz w:val="21"/>
                <w:szCs w:val="21"/>
              </w:rPr>
              <w:t>相关设备设计者</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LPMS设计</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草图</w:t>
            </w:r>
            <w:r>
              <w:rPr>
                <w:rFonts w:hint="eastAsia"/>
                <w:sz w:val="21"/>
                <w:szCs w:val="21"/>
              </w:rPr>
              <w:t>及</w:t>
            </w:r>
            <w:r>
              <w:rPr>
                <w:sz w:val="21"/>
                <w:szCs w:val="21"/>
              </w:rPr>
              <w:t>设计描述</w:t>
            </w:r>
          </w:p>
          <w:p>
            <w:pPr>
              <w:rPr>
                <w:sz w:val="21"/>
                <w:szCs w:val="21"/>
              </w:rPr>
            </w:pPr>
            <w:r>
              <w:rPr>
                <w:sz w:val="21"/>
                <w:szCs w:val="21"/>
              </w:rPr>
              <w:t>准备投标清单</w:t>
            </w:r>
          </w:p>
          <w:p>
            <w:pPr>
              <w:rPr>
                <w:sz w:val="21"/>
                <w:szCs w:val="21"/>
              </w:rPr>
            </w:pPr>
            <w:r>
              <w:rPr>
                <w:sz w:val="21"/>
                <w:szCs w:val="21"/>
              </w:rPr>
              <w:t>详细图纸和安装进度表</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工程设计事务所</w:t>
            </w:r>
          </w:p>
          <w:p>
            <w:pPr>
              <w:rPr>
                <w:sz w:val="21"/>
                <w:szCs w:val="21"/>
              </w:rPr>
            </w:pPr>
            <w:r>
              <w:rPr>
                <w:sz w:val="21"/>
                <w:szCs w:val="21"/>
              </w:rPr>
              <w:t>或相关单位</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LPMS安装</w:t>
            </w:r>
            <w:r>
              <w:rPr>
                <w:rFonts w:hint="eastAsia"/>
                <w:sz w:val="21"/>
                <w:szCs w:val="21"/>
              </w:rPr>
              <w:t>及</w:t>
            </w:r>
            <w:r>
              <w:rPr>
                <w:sz w:val="21"/>
                <w:szCs w:val="21"/>
              </w:rPr>
              <w:t>监</w:t>
            </w:r>
            <w:r>
              <w:rPr>
                <w:rFonts w:hint="eastAsia"/>
                <w:sz w:val="21"/>
                <w:szCs w:val="21"/>
              </w:rPr>
              <w:t>理</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安装质量</w:t>
            </w:r>
          </w:p>
          <w:p>
            <w:pPr>
              <w:rPr>
                <w:sz w:val="21"/>
                <w:szCs w:val="21"/>
              </w:rPr>
            </w:pPr>
            <w:r>
              <w:rPr>
                <w:sz w:val="21"/>
                <w:szCs w:val="21"/>
              </w:rPr>
              <w:t>文</w:t>
            </w:r>
            <w:r>
              <w:rPr>
                <w:rFonts w:hint="eastAsia"/>
                <w:sz w:val="21"/>
                <w:szCs w:val="21"/>
              </w:rPr>
              <w:t>档</w:t>
            </w:r>
          </w:p>
          <w:p>
            <w:pPr>
              <w:rPr>
                <w:sz w:val="21"/>
                <w:szCs w:val="21"/>
              </w:rPr>
            </w:pPr>
            <w:r>
              <w:rPr>
                <w:sz w:val="21"/>
                <w:szCs w:val="21"/>
              </w:rPr>
              <w:t>可能修改详细图纸</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防雷专家</w:t>
            </w:r>
          </w:p>
          <w:p>
            <w:pPr>
              <w:rPr>
                <w:sz w:val="21"/>
                <w:szCs w:val="21"/>
              </w:rPr>
            </w:pPr>
            <w:r>
              <w:rPr>
                <w:sz w:val="21"/>
                <w:szCs w:val="21"/>
              </w:rPr>
              <w:t>LPMS安装公司</w:t>
            </w:r>
          </w:p>
          <w:p>
            <w:pPr>
              <w:rPr>
                <w:sz w:val="21"/>
                <w:szCs w:val="21"/>
              </w:rPr>
            </w:pPr>
            <w:r>
              <w:rPr>
                <w:sz w:val="21"/>
                <w:szCs w:val="21"/>
              </w:rPr>
              <w:t>工程设计事务所</w:t>
            </w:r>
          </w:p>
          <w:p>
            <w:pPr>
              <w:rPr>
                <w:sz w:val="21"/>
                <w:szCs w:val="21"/>
              </w:rPr>
            </w:pPr>
            <w:r>
              <w:rPr>
                <w:sz w:val="21"/>
                <w:szCs w:val="21"/>
              </w:rPr>
              <w:t>监理部门</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LPMS验收</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检查</w:t>
            </w:r>
            <w:r>
              <w:rPr>
                <w:rFonts w:hint="eastAsia"/>
                <w:sz w:val="21"/>
                <w:szCs w:val="21"/>
              </w:rPr>
              <w:t>系统状态并记录存档</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第三方</w:t>
            </w:r>
            <w:r>
              <w:rPr>
                <w:sz w:val="21"/>
                <w:szCs w:val="21"/>
              </w:rPr>
              <w:t>雷电防护专家</w:t>
            </w:r>
          </w:p>
          <w:p>
            <w:pPr>
              <w:rPr>
                <w:sz w:val="21"/>
                <w:szCs w:val="21"/>
              </w:rPr>
            </w:pPr>
            <w:r>
              <w:rPr>
                <w:sz w:val="21"/>
                <w:szCs w:val="21"/>
              </w:rPr>
              <w:t>监理部门</w:t>
            </w:r>
          </w:p>
        </w:tc>
      </w:tr>
      <w:tr>
        <w:tblPrEx>
          <w:tblCellMar>
            <w:top w:w="0" w:type="dxa"/>
            <w:left w:w="108" w:type="dxa"/>
            <w:bottom w:w="0" w:type="dxa"/>
            <w:right w:w="108" w:type="dxa"/>
          </w:tblCellMar>
        </w:tblPrEx>
        <w:tc>
          <w:tcPr>
            <w:tcW w:w="1083" w:type="dxa"/>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定</w:t>
            </w:r>
            <w:r>
              <w:rPr>
                <w:sz w:val="21"/>
                <w:szCs w:val="21"/>
              </w:rPr>
              <w:t>期检查</w:t>
            </w:r>
          </w:p>
        </w:tc>
        <w:tc>
          <w:tcPr>
            <w:tcW w:w="0" w:type="auto"/>
            <w:tcBorders>
              <w:top w:val="single" w:color="auto" w:sz="4" w:space="0"/>
              <w:left w:val="single" w:color="auto" w:sz="4" w:space="0"/>
              <w:bottom w:val="single" w:color="auto" w:sz="4" w:space="0"/>
              <w:right w:val="single" w:color="auto" w:sz="4" w:space="0"/>
            </w:tcBorders>
          </w:tcPr>
          <w:p>
            <w:pPr>
              <w:rPr>
                <w:sz w:val="21"/>
                <w:szCs w:val="21"/>
              </w:rPr>
            </w:pPr>
            <w:r>
              <w:rPr>
                <w:rFonts w:hint="eastAsia"/>
                <w:sz w:val="21"/>
                <w:szCs w:val="21"/>
              </w:rPr>
              <w:t>维护</w:t>
            </w:r>
            <w:r>
              <w:rPr>
                <w:sz w:val="21"/>
                <w:szCs w:val="21"/>
              </w:rPr>
              <w:t>LPMS</w:t>
            </w:r>
            <w:r>
              <w:rPr>
                <w:rFonts w:hint="eastAsia"/>
                <w:sz w:val="21"/>
                <w:szCs w:val="21"/>
              </w:rPr>
              <w:t>的有效性</w:t>
            </w:r>
          </w:p>
        </w:tc>
        <w:tc>
          <w:tcPr>
            <w:tcW w:w="1364" w:type="dxa"/>
            <w:tcBorders>
              <w:top w:val="single" w:color="auto" w:sz="4" w:space="0"/>
              <w:left w:val="single" w:color="auto" w:sz="4" w:space="0"/>
              <w:bottom w:val="single" w:color="auto" w:sz="4" w:space="0"/>
              <w:right w:val="single" w:color="auto" w:sz="4" w:space="0"/>
            </w:tcBorders>
          </w:tcPr>
          <w:p>
            <w:pPr>
              <w:rPr>
                <w:sz w:val="21"/>
                <w:szCs w:val="21"/>
              </w:rPr>
            </w:pPr>
            <w:r>
              <w:rPr>
                <w:sz w:val="21"/>
                <w:szCs w:val="21"/>
              </w:rPr>
              <w:t>防雷专家</w:t>
            </w:r>
          </w:p>
          <w:p>
            <w:pPr>
              <w:rPr>
                <w:sz w:val="21"/>
                <w:szCs w:val="21"/>
              </w:rPr>
            </w:pPr>
            <w:r>
              <w:rPr>
                <w:sz w:val="21"/>
                <w:szCs w:val="21"/>
              </w:rPr>
              <w:t>监理部门</w:t>
            </w:r>
          </w:p>
        </w:tc>
      </w:tr>
    </w:tbl>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第9.2条</w:t>
      </w:r>
    </w:p>
    <w:p>
      <w:pPr>
        <w:pStyle w:val="5"/>
        <w:spacing w:before="0" w:beforeAutospacing="0" w:after="0" w:afterAutospacing="0" w:line="400" w:lineRule="exact"/>
        <w:rPr>
          <w:rFonts w:ascii="Times New Roman" w:hAnsi="Times New Roman" w:cs="Times New Roman"/>
          <w:color w:val="000000"/>
        </w:rPr>
      </w:pPr>
    </w:p>
    <w:bookmarkEnd w:id="13"/>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SPM检查的一般要求是什么？</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1）检查包括技术文档查验，目测检查和试验检测。检查的目的在于确认下列各项：a）SPM与设计一致；b）SPM达到设计性能；c）任何新加的防护措施正确地整合到了SPM中。</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检查应当在下列时期进行：a)在SPM的安装过程中；b)SPM安装完成后c)定期检查；d)当与SPM相关的部件变化后；e)建筑物可能遭受雷击后（例如雷击计数器有雷击计数，有人目击建筑遭受雷击，或者建筑物有遭受雷击后的迹象）。</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3）定期检查的频率由下列各项决定：a)当地的环境，比如腐蚀性土壤和腐蚀性大气环境；b)采用的防护措施的类型。</w:t>
      </w:r>
    </w:p>
    <w:p>
      <w:pPr>
        <w:pStyle w:val="5"/>
        <w:spacing w:before="0" w:beforeAutospacing="0" w:after="0" w:afterAutospacing="0" w:line="400" w:lineRule="exact"/>
        <w:ind w:firstLine="420"/>
        <w:rPr>
          <w:rFonts w:ascii="Times New Roman" w:hAnsi="Times New Roman" w:cs="Times New Roman"/>
          <w:color w:val="000000"/>
        </w:rPr>
      </w:pPr>
      <w:bookmarkStart w:id="14" w:name="_Toc183605691"/>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第9.3.1条</w:t>
      </w:r>
    </w:p>
    <w:p>
      <w:pPr>
        <w:pStyle w:val="5"/>
        <w:spacing w:before="0" w:beforeAutospacing="0" w:after="0" w:afterAutospacing="0" w:line="400" w:lineRule="exact"/>
        <w:ind w:firstLine="420"/>
        <w:rPr>
          <w:rFonts w:ascii="Times New Roman" w:hAnsi="Times New Roman" w:cs="Times New Roman"/>
          <w:color w:val="000000"/>
        </w:rPr>
      </w:pPr>
    </w:p>
    <w:bookmarkEnd w:id="14"/>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用作图法描述如何用线路布线和线路屏蔽措施减少感应效应？</w:t>
      </w:r>
    </w:p>
    <w:p>
      <w:pPr>
        <w:spacing w:line="400" w:lineRule="exact"/>
        <w:ind w:firstLine="240" w:firstLineChars="1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答：</w:t>
      </w:r>
    </w:p>
    <w:p>
      <w:pPr>
        <w:pStyle w:val="10"/>
        <w:jc w:val="center"/>
        <w:rPr>
          <w:rFonts w:ascii="Times New Roman"/>
        </w:rPr>
      </w:pPr>
      <w:r>
        <w:rPr>
          <w:rFonts w:ascii="Times New Roman"/>
        </w:rPr>
        <mc:AlternateContent>
          <mc:Choice Requires="wps">
            <w:drawing>
              <wp:anchor distT="0" distB="0" distL="114300" distR="114300" simplePos="0" relativeHeight="251704320" behindDoc="0" locked="0" layoutInCell="1" allowOverlap="1">
                <wp:simplePos x="0" y="0"/>
                <wp:positionH relativeFrom="column">
                  <wp:posOffset>2009775</wp:posOffset>
                </wp:positionH>
                <wp:positionV relativeFrom="paragraph">
                  <wp:posOffset>4228465</wp:posOffset>
                </wp:positionV>
                <wp:extent cx="2190750" cy="257175"/>
                <wp:effectExtent l="0" t="0" r="0" b="9525"/>
                <wp:wrapNone/>
                <wp:docPr id="190" name="文本框 190"/>
                <wp:cNvGraphicFramePr/>
                <a:graphic xmlns:a="http://schemas.openxmlformats.org/drawingml/2006/main">
                  <a:graphicData uri="http://schemas.microsoft.com/office/word/2010/wordprocessingShape">
                    <wps:wsp>
                      <wps:cNvSpPr txBox="1"/>
                      <wps:spPr>
                        <a:xfrm>
                          <a:off x="0" y="0"/>
                          <a:ext cx="2190750" cy="257175"/>
                        </a:xfrm>
                        <a:prstGeom prst="rect">
                          <a:avLst/>
                        </a:prstGeom>
                        <a:solidFill>
                          <a:srgbClr val="FFFFFF"/>
                        </a:solidFill>
                        <a:ln>
                          <a:noFill/>
                        </a:ln>
                      </wps:spPr>
                      <wps:txbx>
                        <w:txbxContent>
                          <w:p>
                            <w:pPr>
                              <w:jc w:val="center"/>
                              <w:rPr>
                                <w:bCs/>
                                <w:sz w:val="18"/>
                                <w:szCs w:val="18"/>
                              </w:rPr>
                            </w:pPr>
                            <w:r>
                              <w:rPr>
                                <w:rFonts w:hint="eastAsia"/>
                                <w:bCs/>
                                <w:sz w:val="18"/>
                                <w:szCs w:val="18"/>
                              </w:rPr>
                              <w:t>图</w:t>
                            </w:r>
                            <w:r>
                              <w:rPr>
                                <w:bCs/>
                                <w:sz w:val="18"/>
                                <w:szCs w:val="18"/>
                              </w:rPr>
                              <w:t xml:space="preserve">A.5c </w:t>
                            </w:r>
                            <w:r>
                              <w:rPr>
                                <w:rFonts w:hint="eastAsia"/>
                                <w:bCs/>
                                <w:sz w:val="18"/>
                                <w:szCs w:val="18"/>
                              </w:rPr>
                              <w:t>用线路屏蔽减小磁场对线路影响</w:t>
                            </w:r>
                          </w:p>
                        </w:txbxContent>
                      </wps:txbx>
                      <wps:bodyPr upright="1"/>
                    </wps:wsp>
                  </a:graphicData>
                </a:graphic>
              </wp:anchor>
            </w:drawing>
          </mc:Choice>
          <mc:Fallback>
            <w:pict>
              <v:shape id="_x0000_s1026" o:spid="_x0000_s1026" o:spt="202" type="#_x0000_t202" style="position:absolute;left:0pt;margin-left:158.25pt;margin-top:332.95pt;height:20.25pt;width:172.5pt;z-index:251704320;mso-width-relative:page;mso-height-relative:page;" fillcolor="#FFFFFF" filled="t" stroked="f" coordsize="21600,21600" o:gfxdata="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HOj9PZAAAACwEAAA8AAAAAAAAAAQAgAAAAIgAAAGRycy9kb3ducmV2Lnht&#10;bFBLAQIUABQAAAAIAIdO4kCA78GkvwEAAHsDAAAOAAAAAAAAAAEAIAAAACgBAABkcnMvZTJvRG9j&#10;LnhtbFBLBQYAAAAABgAGAFkBAABZBQAAAAA=&#10;">
                <v:fill on="t" focussize="0,0"/>
                <v:stroke on="f"/>
                <v:imagedata o:title=""/>
                <o:lock v:ext="edit" aspectratio="f"/>
                <v:textbox>
                  <w:txbxContent>
                    <w:p>
                      <w:pPr>
                        <w:jc w:val="center"/>
                        <w:rPr>
                          <w:bCs/>
                          <w:sz w:val="18"/>
                          <w:szCs w:val="18"/>
                        </w:rPr>
                      </w:pPr>
                      <w:r>
                        <w:rPr>
                          <w:rFonts w:hint="eastAsia"/>
                          <w:bCs/>
                          <w:sz w:val="18"/>
                          <w:szCs w:val="18"/>
                        </w:rPr>
                        <w:t>图</w:t>
                      </w:r>
                      <w:r>
                        <w:rPr>
                          <w:bCs/>
                          <w:sz w:val="18"/>
                          <w:szCs w:val="18"/>
                        </w:rPr>
                        <w:t xml:space="preserve">A.5c </w:t>
                      </w:r>
                      <w:r>
                        <w:rPr>
                          <w:rFonts w:hint="eastAsia"/>
                          <w:bCs/>
                          <w:sz w:val="18"/>
                          <w:szCs w:val="18"/>
                        </w:rPr>
                        <w:t>用线路屏蔽减小磁场对线路影响</w:t>
                      </w:r>
                    </w:p>
                  </w:txbxContent>
                </v:textbox>
              </v:shape>
            </w:pict>
          </mc:Fallback>
        </mc:AlternateContent>
      </w:r>
      <w:r>
        <w:rPr>
          <w:rFonts w:ascii="Times New Roman"/>
        </w:rPr>
        <mc:AlternateContent>
          <mc:Choice Requires="wps">
            <w:drawing>
              <wp:anchor distT="0" distB="0" distL="114300" distR="114300" simplePos="0" relativeHeight="251703296" behindDoc="0" locked="0" layoutInCell="1" allowOverlap="1">
                <wp:simplePos x="0" y="0"/>
                <wp:positionH relativeFrom="column">
                  <wp:posOffset>2000250</wp:posOffset>
                </wp:positionH>
                <wp:positionV relativeFrom="paragraph">
                  <wp:posOffset>2702560</wp:posOffset>
                </wp:positionV>
                <wp:extent cx="2200275" cy="257175"/>
                <wp:effectExtent l="0" t="0" r="9525" b="9525"/>
                <wp:wrapNone/>
                <wp:docPr id="194" name="文本框 194"/>
                <wp:cNvGraphicFramePr/>
                <a:graphic xmlns:a="http://schemas.openxmlformats.org/drawingml/2006/main">
                  <a:graphicData uri="http://schemas.microsoft.com/office/word/2010/wordprocessingShape">
                    <wps:wsp>
                      <wps:cNvSpPr txBox="1"/>
                      <wps:spPr>
                        <a:xfrm>
                          <a:off x="0" y="0"/>
                          <a:ext cx="2200275" cy="257175"/>
                        </a:xfrm>
                        <a:prstGeom prst="rect">
                          <a:avLst/>
                        </a:prstGeom>
                        <a:solidFill>
                          <a:srgbClr val="FFFFFF"/>
                        </a:solidFill>
                        <a:ln>
                          <a:noFill/>
                        </a:ln>
                      </wps:spPr>
                      <wps:txbx>
                        <w:txbxContent>
                          <w:p>
                            <w:pPr>
                              <w:jc w:val="center"/>
                              <w:rPr>
                                <w:bCs/>
                                <w:sz w:val="18"/>
                                <w:szCs w:val="18"/>
                              </w:rPr>
                            </w:pPr>
                            <w:r>
                              <w:rPr>
                                <w:rFonts w:hint="eastAsia"/>
                                <w:bCs/>
                                <w:sz w:val="18"/>
                                <w:szCs w:val="18"/>
                              </w:rPr>
                              <w:t>图</w:t>
                            </w:r>
                            <w:r>
                              <w:rPr>
                                <w:bCs/>
                                <w:sz w:val="18"/>
                                <w:szCs w:val="18"/>
                              </w:rPr>
                              <w:t xml:space="preserve">A.5b </w:t>
                            </w:r>
                            <w:r>
                              <w:rPr>
                                <w:rFonts w:hint="eastAsia"/>
                                <w:bCs/>
                                <w:sz w:val="18"/>
                                <w:szCs w:val="18"/>
                              </w:rPr>
                              <w:t>用空间屏蔽减小</w:t>
                            </w:r>
                            <w:r>
                              <w:rPr>
                                <w:bCs/>
                                <w:sz w:val="18"/>
                                <w:szCs w:val="18"/>
                              </w:rPr>
                              <w:t>LPZ</w:t>
                            </w:r>
                            <w:r>
                              <w:rPr>
                                <w:rFonts w:hint="eastAsia"/>
                                <w:bCs/>
                                <w:sz w:val="18"/>
                                <w:szCs w:val="18"/>
                              </w:rPr>
                              <w:t>内部磁场</w:t>
                            </w:r>
                          </w:p>
                        </w:txbxContent>
                      </wps:txbx>
                      <wps:bodyPr upright="1"/>
                    </wps:wsp>
                  </a:graphicData>
                </a:graphic>
              </wp:anchor>
            </w:drawing>
          </mc:Choice>
          <mc:Fallback>
            <w:pict>
              <v:shape id="_x0000_s1026" o:spid="_x0000_s1026" o:spt="202" type="#_x0000_t202" style="position:absolute;left:0pt;margin-left:157.5pt;margin-top:212.8pt;height:20.25pt;width:173.25pt;z-index:251703296;mso-width-relative:page;mso-height-relative:page;" fillcolor="#FFFFFF" filled="t" stroked="f" coordsize="21600,21600" o:gfxdata="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3y2xO2AAAAAsBAAAPAAAAAAAAAAEAIAAAACIAAABkcnMvZG93bnJldi54&#10;bWxQSwECFAAUAAAACACHTuJAne+miMEBAAB7AwAADgAAAAAAAAABACAAAAAnAQAAZHJzL2Uyb0Rv&#10;Yy54bWxQSwUGAAAAAAYABgBZAQAAWgUAAAAA&#10;">
                <v:fill on="t" focussize="0,0"/>
                <v:stroke on="f"/>
                <v:imagedata o:title=""/>
                <o:lock v:ext="edit" aspectratio="f"/>
                <v:textbox>
                  <w:txbxContent>
                    <w:p>
                      <w:pPr>
                        <w:jc w:val="center"/>
                        <w:rPr>
                          <w:bCs/>
                          <w:sz w:val="18"/>
                          <w:szCs w:val="18"/>
                        </w:rPr>
                      </w:pPr>
                      <w:r>
                        <w:rPr>
                          <w:rFonts w:hint="eastAsia"/>
                          <w:bCs/>
                          <w:sz w:val="18"/>
                          <w:szCs w:val="18"/>
                        </w:rPr>
                        <w:t>图</w:t>
                      </w:r>
                      <w:r>
                        <w:rPr>
                          <w:bCs/>
                          <w:sz w:val="18"/>
                          <w:szCs w:val="18"/>
                        </w:rPr>
                        <w:t xml:space="preserve">A.5b </w:t>
                      </w:r>
                      <w:r>
                        <w:rPr>
                          <w:rFonts w:hint="eastAsia"/>
                          <w:bCs/>
                          <w:sz w:val="18"/>
                          <w:szCs w:val="18"/>
                        </w:rPr>
                        <w:t>用空间屏蔽减小</w:t>
                      </w:r>
                      <w:r>
                        <w:rPr>
                          <w:bCs/>
                          <w:sz w:val="18"/>
                          <w:szCs w:val="18"/>
                        </w:rPr>
                        <w:t>LPZ</w:t>
                      </w:r>
                      <w:r>
                        <w:rPr>
                          <w:rFonts w:hint="eastAsia"/>
                          <w:bCs/>
                          <w:sz w:val="18"/>
                          <w:szCs w:val="18"/>
                        </w:rPr>
                        <w:t>内部磁场</w:t>
                      </w:r>
                    </w:p>
                  </w:txbxContent>
                </v:textbox>
              </v:shape>
            </w:pict>
          </mc:Fallback>
        </mc:AlternateContent>
      </w:r>
      <w:r>
        <w:rPr>
          <w:rFonts w:ascii="Times New Roman"/>
        </w:rPr>
        <mc:AlternateContent>
          <mc:Choice Requires="wps">
            <w:drawing>
              <wp:anchor distT="0" distB="0" distL="114300" distR="114300" simplePos="0" relativeHeight="251702272" behindDoc="0" locked="0" layoutInCell="1" allowOverlap="1">
                <wp:simplePos x="0" y="0"/>
                <wp:positionH relativeFrom="column">
                  <wp:posOffset>2200275</wp:posOffset>
                </wp:positionH>
                <wp:positionV relativeFrom="paragraph">
                  <wp:posOffset>1235710</wp:posOffset>
                </wp:positionV>
                <wp:extent cx="1800225" cy="257175"/>
                <wp:effectExtent l="0" t="0" r="9525" b="9525"/>
                <wp:wrapNone/>
                <wp:docPr id="192" name="文本框 192"/>
                <wp:cNvGraphicFramePr/>
                <a:graphic xmlns:a="http://schemas.openxmlformats.org/drawingml/2006/main">
                  <a:graphicData uri="http://schemas.microsoft.com/office/word/2010/wordprocessingShape">
                    <wps:wsp>
                      <wps:cNvSpPr txBox="1"/>
                      <wps:spPr>
                        <a:xfrm>
                          <a:off x="0" y="0"/>
                          <a:ext cx="1800225" cy="257175"/>
                        </a:xfrm>
                        <a:prstGeom prst="rect">
                          <a:avLst/>
                        </a:prstGeom>
                        <a:solidFill>
                          <a:srgbClr val="FFFFFF"/>
                        </a:solidFill>
                        <a:ln>
                          <a:noFill/>
                        </a:ln>
                      </wps:spPr>
                      <wps:txbx>
                        <w:txbxContent>
                          <w:p>
                            <w:pPr>
                              <w:jc w:val="center"/>
                              <w:rPr>
                                <w:bCs/>
                                <w:sz w:val="18"/>
                                <w:szCs w:val="18"/>
                              </w:rPr>
                            </w:pPr>
                            <w:r>
                              <w:rPr>
                                <w:rFonts w:hint="eastAsia"/>
                                <w:bCs/>
                                <w:sz w:val="18"/>
                                <w:szCs w:val="18"/>
                              </w:rPr>
                              <w:t>图</w:t>
                            </w:r>
                            <w:r>
                              <w:rPr>
                                <w:bCs/>
                                <w:sz w:val="18"/>
                                <w:szCs w:val="18"/>
                              </w:rPr>
                              <w:t xml:space="preserve"> A.5a – </w:t>
                            </w:r>
                            <w:r>
                              <w:rPr>
                                <w:rFonts w:hint="eastAsia"/>
                                <w:bCs/>
                                <w:sz w:val="18"/>
                                <w:szCs w:val="18"/>
                              </w:rPr>
                              <w:t>未防护系统</w:t>
                            </w:r>
                          </w:p>
                        </w:txbxContent>
                      </wps:txbx>
                      <wps:bodyPr upright="1"/>
                    </wps:wsp>
                  </a:graphicData>
                </a:graphic>
              </wp:anchor>
            </w:drawing>
          </mc:Choice>
          <mc:Fallback>
            <w:pict>
              <v:shape id="_x0000_s1026" o:spid="_x0000_s1026" o:spt="202" type="#_x0000_t202" style="position:absolute;left:0pt;margin-left:173.25pt;margin-top:97.3pt;height:20.25pt;width:141.75pt;z-index:251702272;mso-width-relative:page;mso-height-relative:page;" fillcolor="#FFFFFF" filled="t" stroked="f" coordsize="21600,21600" o:gfxdata="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qjL/pNkAAAALAQAADwAAAAAAAAABACAAAAAiAAAAZHJzL2Rvd25yZXYu&#10;eG1sUEsBAhQAFAAAAAgAh07iQANeBATBAQAAewMAAA4AAAAAAAAAAQAgAAAAKAEAAGRycy9lMm9E&#10;b2MueG1sUEsFBgAAAAAGAAYAWQEAAFsFAAAAAA==&#10;">
                <v:fill on="t" focussize="0,0"/>
                <v:stroke on="f"/>
                <v:imagedata o:title=""/>
                <o:lock v:ext="edit" aspectratio="f"/>
                <v:textbox>
                  <w:txbxContent>
                    <w:p>
                      <w:pPr>
                        <w:jc w:val="center"/>
                        <w:rPr>
                          <w:bCs/>
                          <w:sz w:val="18"/>
                          <w:szCs w:val="18"/>
                        </w:rPr>
                      </w:pPr>
                      <w:r>
                        <w:rPr>
                          <w:rFonts w:hint="eastAsia"/>
                          <w:bCs/>
                          <w:sz w:val="18"/>
                          <w:szCs w:val="18"/>
                        </w:rPr>
                        <w:t>图</w:t>
                      </w:r>
                      <w:r>
                        <w:rPr>
                          <w:bCs/>
                          <w:sz w:val="18"/>
                          <w:szCs w:val="18"/>
                        </w:rPr>
                        <w:t xml:space="preserve"> A.5a – </w:t>
                      </w:r>
                      <w:r>
                        <w:rPr>
                          <w:rFonts w:hint="eastAsia"/>
                          <w:bCs/>
                          <w:sz w:val="18"/>
                          <w:szCs w:val="18"/>
                        </w:rPr>
                        <w:t>未防护系统</w:t>
                      </w:r>
                    </w:p>
                  </w:txbxContent>
                </v:textbox>
              </v:shape>
            </w:pict>
          </mc:Fallback>
        </mc:AlternateContent>
      </w:r>
      <w:r>
        <w:rPr>
          <w:rFonts w:ascii="Times New Roman"/>
        </w:rPr>
        <mc:AlternateContent>
          <mc:Choice Requires="wps">
            <w:drawing>
              <wp:anchor distT="0" distB="0" distL="114300" distR="114300" simplePos="0" relativeHeight="251705344" behindDoc="0" locked="0" layoutInCell="1" allowOverlap="1">
                <wp:simplePos x="0" y="0"/>
                <wp:positionH relativeFrom="column">
                  <wp:posOffset>1772285</wp:posOffset>
                </wp:positionH>
                <wp:positionV relativeFrom="paragraph">
                  <wp:posOffset>5702935</wp:posOffset>
                </wp:positionV>
                <wp:extent cx="2828290" cy="308610"/>
                <wp:effectExtent l="0" t="0" r="10160" b="15240"/>
                <wp:wrapNone/>
                <wp:docPr id="193" name="文本框 193"/>
                <wp:cNvGraphicFramePr/>
                <a:graphic xmlns:a="http://schemas.openxmlformats.org/drawingml/2006/main">
                  <a:graphicData uri="http://schemas.microsoft.com/office/word/2010/wordprocessingShape">
                    <wps:wsp>
                      <wps:cNvSpPr txBox="1"/>
                      <wps:spPr>
                        <a:xfrm>
                          <a:off x="0" y="0"/>
                          <a:ext cx="2828290" cy="308610"/>
                        </a:xfrm>
                        <a:prstGeom prst="rect">
                          <a:avLst/>
                        </a:prstGeom>
                        <a:solidFill>
                          <a:srgbClr val="FFFFFF"/>
                        </a:solidFill>
                        <a:ln>
                          <a:noFill/>
                        </a:ln>
                      </wps:spPr>
                      <wps:txbx>
                        <w:txbxContent>
                          <w:p>
                            <w:pPr>
                              <w:jc w:val="center"/>
                              <w:rPr>
                                <w:bCs/>
                                <w:sz w:val="18"/>
                                <w:szCs w:val="18"/>
                              </w:rPr>
                            </w:pPr>
                            <w:r>
                              <w:rPr>
                                <w:rFonts w:hint="eastAsia"/>
                                <w:bCs/>
                                <w:sz w:val="18"/>
                                <w:szCs w:val="18"/>
                              </w:rPr>
                              <w:t>图</w:t>
                            </w:r>
                            <w:r>
                              <w:rPr>
                                <w:bCs/>
                                <w:sz w:val="18"/>
                                <w:szCs w:val="18"/>
                              </w:rPr>
                              <w:t xml:space="preserve">A.5d </w:t>
                            </w:r>
                            <w:r>
                              <w:rPr>
                                <w:rFonts w:hint="eastAsia"/>
                                <w:bCs/>
                                <w:sz w:val="18"/>
                                <w:szCs w:val="18"/>
                              </w:rPr>
                              <w:t>用合理布线减少感应回路面积</w:t>
                            </w:r>
                          </w:p>
                        </w:txbxContent>
                      </wps:txbx>
                      <wps:bodyPr upright="1"/>
                    </wps:wsp>
                  </a:graphicData>
                </a:graphic>
              </wp:anchor>
            </w:drawing>
          </mc:Choice>
          <mc:Fallback>
            <w:pict>
              <v:shape id="_x0000_s1026" o:spid="_x0000_s1026" o:spt="202" type="#_x0000_t202" style="position:absolute;left:0pt;margin-left:139.55pt;margin-top:449.05pt;height:24.3pt;width:222.7pt;z-index:251705344;mso-width-relative:page;mso-height-relative:page;" fillcolor="#FFFFFF" filled="t" stroked="f" coordsize="21600,21600" o:gfxdata="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ad+DF2QAAAAsBAAAPAAAAAAAAAAEAIAAAACIAAABkcnMvZG93bnJl&#10;di54bWxQSwECFAAUAAAACACHTuJAYZ53D8MBAAB7AwAADgAAAAAAAAABACAAAAAoAQAAZHJzL2Uy&#10;b0RvYy54bWxQSwUGAAAAAAYABgBZAQAAXQUAAAAA&#10;">
                <v:fill on="t" focussize="0,0"/>
                <v:stroke on="f"/>
                <v:imagedata o:title=""/>
                <o:lock v:ext="edit" aspectratio="f"/>
                <v:textbox>
                  <w:txbxContent>
                    <w:p>
                      <w:pPr>
                        <w:jc w:val="center"/>
                        <w:rPr>
                          <w:bCs/>
                          <w:sz w:val="18"/>
                          <w:szCs w:val="18"/>
                        </w:rPr>
                      </w:pPr>
                      <w:r>
                        <w:rPr>
                          <w:rFonts w:hint="eastAsia"/>
                          <w:bCs/>
                          <w:sz w:val="18"/>
                          <w:szCs w:val="18"/>
                        </w:rPr>
                        <w:t>图</w:t>
                      </w:r>
                      <w:r>
                        <w:rPr>
                          <w:bCs/>
                          <w:sz w:val="18"/>
                          <w:szCs w:val="18"/>
                        </w:rPr>
                        <w:t xml:space="preserve">A.5d </w:t>
                      </w:r>
                      <w:r>
                        <w:rPr>
                          <w:rFonts w:hint="eastAsia"/>
                          <w:bCs/>
                          <w:sz w:val="18"/>
                          <w:szCs w:val="18"/>
                        </w:rPr>
                        <w:t>用合理布线减少感应回路面积</w:t>
                      </w:r>
                    </w:p>
                  </w:txbxContent>
                </v:textbox>
              </v:shape>
            </w:pict>
          </mc:Fallback>
        </mc:AlternateContent>
      </w:r>
      <w:r>
        <w:rPr>
          <w:rFonts w:ascii="Times New Roman"/>
        </w:rPr>
        <w:drawing>
          <wp:inline distT="0" distB="0" distL="114300" distR="114300">
            <wp:extent cx="1914525" cy="5582285"/>
            <wp:effectExtent l="0" t="0" r="9525" b="18415"/>
            <wp:docPr id="191" name="图片 103" descr="fig4-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03" descr="fig4-1-05"/>
                    <pic:cNvPicPr>
                      <a:picLocks noChangeAspect="1"/>
                    </pic:cNvPicPr>
                  </pic:nvPicPr>
                  <pic:blipFill>
                    <a:blip r:embed="rId17"/>
                    <a:stretch>
                      <a:fillRect/>
                    </a:stretch>
                  </pic:blipFill>
                  <pic:spPr>
                    <a:xfrm>
                      <a:off x="0" y="0"/>
                      <a:ext cx="1914525" cy="5582285"/>
                    </a:xfrm>
                    <a:prstGeom prst="rect">
                      <a:avLst/>
                    </a:prstGeom>
                    <a:noFill/>
                    <a:ln>
                      <a:noFill/>
                    </a:ln>
                  </pic:spPr>
                </pic:pic>
              </a:graphicData>
            </a:graphic>
          </wp:inline>
        </w:drawing>
      </w:r>
    </w:p>
    <w:p>
      <w:pPr>
        <w:pStyle w:val="10"/>
        <w:jc w:val="center"/>
        <w:rPr>
          <w:rFonts w:ascii="Times New Roman"/>
        </w:rPr>
      </w:pPr>
    </w:p>
    <w:p>
      <w:pPr>
        <w:tabs>
          <w:tab w:val="left" w:pos="840"/>
        </w:tabs>
        <w:ind w:left="839" w:leftChars="200" w:hanging="419" w:hangingChars="233"/>
        <w:rPr>
          <w:bCs/>
          <w:sz w:val="18"/>
          <w:szCs w:val="18"/>
        </w:rPr>
      </w:pPr>
      <w:r>
        <w:rPr>
          <w:bCs/>
          <w:sz w:val="18"/>
          <w:szCs w:val="18"/>
        </w:rPr>
        <w:t xml:space="preserve">注： </w:t>
      </w:r>
      <w:r>
        <w:rPr>
          <w:rFonts w:hint="eastAsia"/>
          <w:bCs/>
          <w:sz w:val="18"/>
          <w:szCs w:val="18"/>
        </w:rPr>
        <w:t xml:space="preserve">  </w:t>
      </w:r>
      <w:r>
        <w:rPr>
          <w:bCs/>
          <w:sz w:val="18"/>
          <w:szCs w:val="18"/>
        </w:rPr>
        <w:t xml:space="preserve">1. </w:t>
      </w:r>
      <w:r>
        <w:rPr>
          <w:bCs/>
          <w:sz w:val="18"/>
          <w:szCs w:val="18"/>
        </w:rPr>
        <w:tab/>
      </w:r>
      <w:r>
        <w:rPr>
          <w:bCs/>
          <w:sz w:val="18"/>
          <w:szCs w:val="18"/>
        </w:rPr>
        <w:t>设备</w:t>
      </w:r>
    </w:p>
    <w:p>
      <w:pPr>
        <w:tabs>
          <w:tab w:val="left" w:pos="1050"/>
        </w:tabs>
        <w:ind w:left="838" w:leftChars="399" w:firstLine="1"/>
        <w:rPr>
          <w:bCs/>
          <w:sz w:val="18"/>
          <w:szCs w:val="18"/>
        </w:rPr>
      </w:pPr>
      <w:r>
        <w:rPr>
          <w:bCs/>
          <w:sz w:val="18"/>
          <w:szCs w:val="18"/>
        </w:rPr>
        <w:t xml:space="preserve">2. </w:t>
      </w:r>
      <w:r>
        <w:rPr>
          <w:bCs/>
          <w:sz w:val="18"/>
          <w:szCs w:val="18"/>
        </w:rPr>
        <w:tab/>
      </w:r>
      <w:r>
        <w:rPr>
          <w:bCs/>
          <w:sz w:val="18"/>
          <w:szCs w:val="18"/>
        </w:rPr>
        <w:t>a线 (例如电</w:t>
      </w:r>
      <w:r>
        <w:rPr>
          <w:rFonts w:hint="eastAsia"/>
          <w:bCs/>
          <w:sz w:val="18"/>
          <w:szCs w:val="18"/>
        </w:rPr>
        <w:t>源</w:t>
      </w:r>
      <w:r>
        <w:rPr>
          <w:bCs/>
          <w:sz w:val="18"/>
          <w:szCs w:val="18"/>
        </w:rPr>
        <w:t xml:space="preserve">线) </w:t>
      </w:r>
    </w:p>
    <w:p>
      <w:pPr>
        <w:tabs>
          <w:tab w:val="left" w:pos="1050"/>
        </w:tabs>
        <w:ind w:left="838" w:leftChars="399" w:firstLine="1"/>
        <w:rPr>
          <w:bCs/>
          <w:sz w:val="18"/>
          <w:szCs w:val="18"/>
        </w:rPr>
      </w:pPr>
      <w:r>
        <w:rPr>
          <w:bCs/>
          <w:sz w:val="18"/>
          <w:szCs w:val="18"/>
        </w:rPr>
        <w:t xml:space="preserve">3. </w:t>
      </w:r>
      <w:r>
        <w:rPr>
          <w:bCs/>
          <w:sz w:val="18"/>
          <w:szCs w:val="18"/>
        </w:rPr>
        <w:tab/>
      </w:r>
      <w:r>
        <w:rPr>
          <w:bCs/>
          <w:sz w:val="18"/>
          <w:szCs w:val="18"/>
        </w:rPr>
        <w:t xml:space="preserve">b线 (例如信号线) </w:t>
      </w:r>
    </w:p>
    <w:p>
      <w:pPr>
        <w:tabs>
          <w:tab w:val="left" w:pos="1050"/>
        </w:tabs>
        <w:ind w:left="838" w:leftChars="399" w:firstLine="1"/>
        <w:rPr>
          <w:bCs/>
          <w:sz w:val="18"/>
          <w:szCs w:val="18"/>
        </w:rPr>
      </w:pPr>
      <w:r>
        <w:rPr>
          <w:bCs/>
          <w:sz w:val="18"/>
          <w:szCs w:val="18"/>
        </w:rPr>
        <w:t>4.</w:t>
      </w:r>
      <w:r>
        <w:rPr>
          <w:bCs/>
          <w:sz w:val="18"/>
          <w:szCs w:val="18"/>
        </w:rPr>
        <w:tab/>
      </w:r>
      <w:r>
        <w:rPr>
          <w:bCs/>
          <w:sz w:val="18"/>
          <w:szCs w:val="18"/>
        </w:rPr>
        <w:t>线路屏蔽</w:t>
      </w:r>
    </w:p>
    <w:p>
      <w:pPr>
        <w:pStyle w:val="8"/>
        <w:spacing w:line="400" w:lineRule="exact"/>
        <w:ind w:left="400" w:firstLine="480"/>
        <w:jc w:val="left"/>
        <w:rPr>
          <w:rFonts w:ascii="Times New Roman" w:hAnsi="Times New Roman"/>
          <w:color w:val="000000"/>
          <w:kern w:val="0"/>
          <w:sz w:val="24"/>
          <w:szCs w:val="24"/>
        </w:rPr>
      </w:pP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第3.3条</w:t>
      </w:r>
    </w:p>
    <w:p>
      <w:pPr>
        <w:pStyle w:val="5"/>
        <w:spacing w:before="0" w:beforeAutospacing="0" w:after="0" w:afterAutospacing="0" w:line="400" w:lineRule="exact"/>
        <w:ind w:firstLine="420"/>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用作图法简述办公楼SPM安装方式。</w:t>
      </w:r>
    </w:p>
    <w:p>
      <w:pPr>
        <w:widowControl/>
        <w:jc w:val="left"/>
      </w:pPr>
      <w:r>
        <w:rPr>
          <w:rFonts w:hint="eastAsia" w:ascii="Times New Roman" w:hAnsi="Times New Roman"/>
          <w:color w:val="000000"/>
          <w:kern w:val="0"/>
          <w:sz w:val="24"/>
          <w:szCs w:val="24"/>
        </w:rPr>
        <w:t>答：</w:t>
      </w:r>
      <w:bookmarkStart w:id="15" w:name="_Toc183605742"/>
      <w:r>
        <w:rPr>
          <w:rFonts w:ascii="宋体" w:hAnsi="宋体" w:eastAsia="宋体" w:cs="宋体"/>
          <w:kern w:val="0"/>
          <w:sz w:val="24"/>
          <w:szCs w:val="24"/>
        </w:rPr>
        <w:drawing>
          <wp:inline distT="0" distB="0" distL="114300" distR="114300">
            <wp:extent cx="5400675" cy="8124825"/>
            <wp:effectExtent l="0" t="0" r="9525" b="9525"/>
            <wp:docPr id="1647" name="图片 10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 name="图片 104" descr="IMG_256"/>
                    <pic:cNvPicPr>
                      <a:picLocks noChangeAspect="1"/>
                    </pic:cNvPicPr>
                  </pic:nvPicPr>
                  <pic:blipFill>
                    <a:blip r:embed="rId18"/>
                    <a:stretch>
                      <a:fillRect/>
                    </a:stretch>
                  </pic:blipFill>
                  <pic:spPr>
                    <a:xfrm>
                      <a:off x="0" y="0"/>
                      <a:ext cx="5400675" cy="8124825"/>
                    </a:xfrm>
                    <a:prstGeom prst="rect">
                      <a:avLst/>
                    </a:prstGeom>
                    <a:noFill/>
                    <a:ln w="9525">
                      <a:noFill/>
                    </a:ln>
                  </pic:spPr>
                </pic:pic>
              </a:graphicData>
            </a:graphic>
          </wp:inline>
        </w:drawing>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第A.3条</w:t>
      </w:r>
    </w:p>
    <w:p>
      <w:pPr>
        <w:spacing w:line="400" w:lineRule="exact"/>
        <w:ind w:left="400"/>
        <w:rPr>
          <w:rFonts w:ascii="Times New Roman" w:hAnsi="Times New Roman" w:eastAsia="宋体" w:cs="Times New Roman"/>
          <w:b/>
          <w:color w:val="000000" w:themeColor="text1"/>
          <w:sz w:val="24"/>
          <w:szCs w:val="24"/>
          <w14:textFill>
            <w14:solidFill>
              <w14:schemeClr w14:val="tx1"/>
            </w14:solidFill>
          </w14:textFill>
        </w:rPr>
      </w:pPr>
    </w:p>
    <w:bookmarkEnd w:id="15"/>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简述既有建筑物内安装SPM的一般要求。</w:t>
      </w:r>
    </w:p>
    <w:p>
      <w:pPr>
        <w:pStyle w:val="5"/>
        <w:spacing w:before="0" w:beforeAutospacing="0" w:after="0" w:afterAutospacing="0" w:line="400" w:lineRule="exact"/>
        <w:ind w:firstLine="240" w:firstLineChars="100"/>
        <w:rPr>
          <w:rFonts w:ascii="Times New Roman" w:hAnsi="Times New Roman"/>
          <w:color w:val="000000"/>
        </w:rPr>
      </w:pPr>
      <w:bookmarkStart w:id="16" w:name="_Toc183605824"/>
      <w:r>
        <w:rPr>
          <w:rFonts w:hint="eastAsia" w:ascii="Times New Roman" w:hAnsi="Times New Roman"/>
          <w:color w:val="000000"/>
        </w:rPr>
        <w:t>答：</w:t>
      </w:r>
      <w:bookmarkEnd w:id="16"/>
      <w:bookmarkStart w:id="17" w:name="_Toc183605745"/>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1）设计过程的第一步是完成项目清单和做风险评估。如果分析结果显示需要安装SPM，则按照相关步骤进行。</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2）所有的需保护设备均构建合适的LPZ。</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3）SPM的基本部分是内部屏蔽和搭接网络。搭接网络的网格宽度要求在任何方向均不能超过5m, 如果建筑物外墙不允许安装屏蔽和搭接网络，则至少应在建筑物每层的外墙安装一环形导体，该导体应当与外部LPS的每条引下线相连。（更改既有建筑物的屏蔽措施既不现实也不经济，在这种情况下，应用SPD是有效的选择。）</w:t>
      </w:r>
    </w:p>
    <w:p>
      <w:pPr>
        <w:pStyle w:val="5"/>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第B.3条</w:t>
      </w:r>
    </w:p>
    <w:p>
      <w:pPr>
        <w:spacing w:line="400" w:lineRule="exact"/>
        <w:rPr>
          <w:rFonts w:ascii="Times New Roman" w:hAnsi="Times New Roman" w:eastAsia="宋体" w:cs="Times New Roman"/>
          <w:b/>
          <w:color w:val="000000" w:themeColor="text1"/>
          <w:sz w:val="24"/>
          <w:szCs w:val="24"/>
          <w14:textFill>
            <w14:solidFill>
              <w14:schemeClr w14:val="tx1"/>
            </w14:solidFill>
          </w14:textFill>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w:t>
      </w:r>
      <w:bookmarkEnd w:id="17"/>
      <w:r>
        <w:rPr>
          <w:rFonts w:hint="eastAsia" w:ascii="Times New Roman" w:hAnsi="Times New Roman" w:eastAsia="宋体" w:cs="Times New Roman"/>
          <w:b/>
          <w:color w:val="000000" w:themeColor="text1"/>
          <w:sz w:val="24"/>
          <w:szCs w:val="24"/>
          <w14:textFill>
            <w14:solidFill>
              <w14:schemeClr w14:val="tx1"/>
            </w14:solidFill>
          </w14:textFill>
        </w:rPr>
        <w:t>协调配合SPD系统的设计步骤。</w:t>
      </w:r>
    </w:p>
    <w:p>
      <w:pPr>
        <w:pStyle w:val="5"/>
        <w:spacing w:before="0" w:beforeAutospacing="0" w:after="0" w:afterAutospacing="0" w:line="400" w:lineRule="exact"/>
        <w:ind w:firstLine="240" w:firstLineChars="100"/>
        <w:rPr>
          <w:rFonts w:ascii="Times New Roman" w:hAnsi="Times New Roman"/>
          <w:color w:val="000000"/>
        </w:rPr>
      </w:pPr>
      <w:bookmarkStart w:id="18" w:name="_Toc183605826"/>
      <w:r>
        <w:rPr>
          <w:rFonts w:hint="eastAsia" w:ascii="Times New Roman" w:hAnsi="Times New Roman"/>
          <w:color w:val="000000"/>
        </w:rPr>
        <w:t>答</w:t>
      </w:r>
      <w:bookmarkEnd w:id="18"/>
      <w:bookmarkStart w:id="19" w:name="_Toc183605748"/>
      <w:r>
        <w:rPr>
          <w:rFonts w:hint="eastAsia" w:ascii="Times New Roman" w:hAnsi="Times New Roman"/>
          <w:color w:val="000000"/>
        </w:rPr>
        <w:t>：</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1）协调配合SPD系统的设计用来保护不同的LPZ边界的线缆。</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2）设计额外措施将会通过等电位连接和SPD系统提高防护能力。</w:t>
      </w:r>
    </w:p>
    <w:p>
      <w:pPr>
        <w:pStyle w:val="5"/>
        <w:spacing w:before="0" w:beforeAutospacing="0" w:after="0" w:afterAutospacing="0" w:line="400" w:lineRule="exact"/>
        <w:ind w:firstLine="360" w:firstLineChars="150"/>
        <w:rPr>
          <w:rFonts w:ascii="Times New Roman" w:hAnsi="Times New Roman"/>
          <w:color w:val="000000"/>
        </w:rPr>
      </w:pPr>
      <w:r>
        <w:rPr>
          <w:rFonts w:hint="eastAsia" w:ascii="Times New Roman" w:hAnsi="Times New Roman"/>
          <w:color w:val="000000"/>
        </w:rPr>
        <w:t xml:space="preserve"> 3）电缆托架、电缆梯以及类似结构的设计考虑其上面或内部以适合的屏蔽来改善电缆运行。</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4）如果可能，附加措施（例如墙，底板，天花板等等的屏蔽）应当考虑已有部分的附加防护。</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5）防护措施设计应加强防护建筑物和其他建筑物之间的互连。</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6）当已有防护措施的建筑物内安装新的内部系统时，应重新设计内部系统的位置。</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第B.5条</w:t>
      </w:r>
    </w:p>
    <w:p>
      <w:pPr>
        <w:spacing w:line="400" w:lineRule="exact"/>
        <w:ind w:left="400"/>
        <w:rPr>
          <w:rFonts w:ascii="Times New Roman" w:hAnsi="Times New Roman" w:eastAsia="宋体" w:cs="Times New Roman"/>
          <w:b/>
          <w:color w:val="000000" w:themeColor="text1"/>
          <w:sz w:val="24"/>
          <w:szCs w:val="24"/>
          <w14:textFill>
            <w14:solidFill>
              <w14:schemeClr w14:val="tx1"/>
            </w14:solidFill>
          </w14:textFill>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w:t>
      </w:r>
      <w:bookmarkEnd w:id="19"/>
      <w:r>
        <w:rPr>
          <w:rFonts w:hint="eastAsia" w:ascii="Times New Roman" w:hAnsi="Times New Roman" w:eastAsia="宋体" w:cs="Times New Roman"/>
          <w:b/>
          <w:color w:val="000000" w:themeColor="text1"/>
          <w:sz w:val="24"/>
          <w:szCs w:val="24"/>
          <w14:textFill>
            <w14:solidFill>
              <w14:schemeClr w14:val="tx1"/>
            </w14:solidFill>
          </w14:textFill>
        </w:rPr>
        <w:t>用隔离界面进行防护的措施。</w:t>
      </w:r>
    </w:p>
    <w:p>
      <w:pPr>
        <w:pStyle w:val="10"/>
        <w:ind w:firstLine="240" w:firstLineChars="100"/>
        <w:rPr>
          <w:rFonts w:ascii="Times New Roman"/>
          <w:color w:val="000000"/>
          <w:sz w:val="24"/>
          <w:szCs w:val="24"/>
        </w:rPr>
      </w:pPr>
      <w:bookmarkStart w:id="20" w:name="_Toc183605830"/>
      <w:r>
        <w:rPr>
          <w:rFonts w:hint="eastAsia" w:ascii="Times New Roman"/>
          <w:color w:val="000000"/>
          <w:sz w:val="24"/>
          <w:szCs w:val="24"/>
        </w:rPr>
        <w:t>答：</w:t>
      </w:r>
      <w:bookmarkEnd w:id="20"/>
    </w:p>
    <w:p>
      <w:pPr>
        <w:pStyle w:val="5"/>
        <w:spacing w:before="0" w:beforeAutospacing="0" w:after="0" w:afterAutospacing="0" w:line="400" w:lineRule="exact"/>
        <w:ind w:firstLine="480" w:firstLineChars="200"/>
        <w:rPr>
          <w:rFonts w:ascii="Times New Roman" w:hAnsi="Times New Roman"/>
          <w:color w:val="000000"/>
        </w:rPr>
      </w:pPr>
      <w:r>
        <w:rPr>
          <w:rFonts w:ascii="Times New Roman" w:hAnsi="Times New Roman"/>
          <w:color w:val="000000"/>
        </w:rPr>
        <w:t>流过设备及</w:t>
      </w:r>
      <w:r>
        <w:rPr>
          <w:rFonts w:hint="eastAsia" w:ascii="Times New Roman" w:hAnsi="Times New Roman"/>
          <w:color w:val="000000"/>
        </w:rPr>
        <w:t>其</w:t>
      </w:r>
      <w:r>
        <w:rPr>
          <w:rFonts w:ascii="Times New Roman" w:hAnsi="Times New Roman"/>
          <w:color w:val="000000"/>
        </w:rPr>
        <w:t>连接的信号线</w:t>
      </w:r>
      <w:r>
        <w:rPr>
          <w:rFonts w:hint="eastAsia" w:ascii="Times New Roman" w:hAnsi="Times New Roman"/>
          <w:color w:val="000000"/>
        </w:rPr>
        <w:t>上</w:t>
      </w:r>
      <w:r>
        <w:rPr>
          <w:rFonts w:ascii="Times New Roman" w:hAnsi="Times New Roman"/>
          <w:color w:val="000000"/>
        </w:rPr>
        <w:t>的工频干扰电流，可能</w:t>
      </w:r>
      <w:r>
        <w:rPr>
          <w:rFonts w:hint="eastAsia" w:ascii="Times New Roman" w:hAnsi="Times New Roman"/>
          <w:color w:val="000000"/>
        </w:rPr>
        <w:t>归因于</w:t>
      </w:r>
      <w:r>
        <w:rPr>
          <w:rFonts w:ascii="Times New Roman" w:hAnsi="Times New Roman"/>
          <w:color w:val="000000"/>
        </w:rPr>
        <w:t>大的</w:t>
      </w:r>
      <w:r>
        <w:rPr>
          <w:rFonts w:hint="eastAsia" w:ascii="Times New Roman" w:hAnsi="Times New Roman"/>
          <w:color w:val="000000"/>
        </w:rPr>
        <w:t>感应</w:t>
      </w:r>
      <w:r>
        <w:rPr>
          <w:rFonts w:ascii="Times New Roman" w:hAnsi="Times New Roman"/>
          <w:color w:val="000000"/>
        </w:rPr>
        <w:t>回路</w:t>
      </w:r>
      <w:r>
        <w:rPr>
          <w:rFonts w:hint="eastAsia" w:ascii="Times New Roman" w:hAnsi="Times New Roman"/>
          <w:color w:val="000000"/>
        </w:rPr>
        <w:t>或者缺乏</w:t>
      </w:r>
      <w:r>
        <w:rPr>
          <w:rFonts w:ascii="Times New Roman" w:hAnsi="Times New Roman"/>
          <w:color w:val="000000"/>
        </w:rPr>
        <w:t>阻抗</w:t>
      </w:r>
      <w:r>
        <w:rPr>
          <w:rFonts w:hint="eastAsia" w:ascii="Times New Roman" w:hAnsi="Times New Roman"/>
          <w:color w:val="000000"/>
        </w:rPr>
        <w:t>足</w:t>
      </w:r>
      <w:r>
        <w:rPr>
          <w:rFonts w:ascii="Times New Roman" w:hAnsi="Times New Roman"/>
          <w:color w:val="000000"/>
        </w:rPr>
        <w:t>够低</w:t>
      </w:r>
      <w:r>
        <w:rPr>
          <w:rFonts w:hint="eastAsia" w:ascii="Times New Roman" w:hAnsi="Times New Roman"/>
          <w:color w:val="000000"/>
        </w:rPr>
        <w:t>的搭接网络</w:t>
      </w:r>
      <w:r>
        <w:rPr>
          <w:rFonts w:ascii="Times New Roman" w:hAnsi="Times New Roman"/>
          <w:color w:val="000000"/>
        </w:rPr>
        <w:t>。为了防止这种干扰（主要在TN-C型供电设备内），应在既有的电源设备与新增电源设备间用</w:t>
      </w:r>
      <w:r>
        <w:rPr>
          <w:rFonts w:hint="eastAsia" w:ascii="Times New Roman" w:hAnsi="Times New Roman"/>
          <w:color w:val="000000"/>
        </w:rPr>
        <w:t>隔离</w:t>
      </w:r>
      <w:r>
        <w:rPr>
          <w:rFonts w:ascii="Times New Roman" w:hAnsi="Times New Roman"/>
          <w:color w:val="000000"/>
        </w:rPr>
        <w:t>界面</w:t>
      </w:r>
      <w:r>
        <w:rPr>
          <w:rFonts w:hint="eastAsia" w:ascii="Times New Roman" w:hAnsi="Times New Roman"/>
          <w:color w:val="000000"/>
        </w:rPr>
        <w:t>来</w:t>
      </w:r>
      <w:r>
        <w:rPr>
          <w:rFonts w:ascii="Times New Roman" w:hAnsi="Times New Roman"/>
          <w:color w:val="000000"/>
        </w:rPr>
        <w:t>进行适当的隔离，例如：</w:t>
      </w:r>
      <w:r>
        <w:rPr>
          <w:rFonts w:hint="eastAsia" w:ascii="Times New Roman" w:hAnsi="Times New Roman"/>
          <w:color w:val="000000"/>
        </w:rPr>
        <w:t>a）</w:t>
      </w:r>
      <w:r>
        <w:rPr>
          <w:rFonts w:ascii="Times New Roman"/>
          <w:szCs w:val="22"/>
        </w:rPr>
        <w:t>II级</w:t>
      </w:r>
      <w:r>
        <w:rPr>
          <w:rFonts w:hint="eastAsia" w:ascii="Times New Roman"/>
          <w:szCs w:val="22"/>
        </w:rPr>
        <w:t>隔离</w:t>
      </w:r>
      <w:r>
        <w:rPr>
          <w:rFonts w:ascii="Times New Roman"/>
          <w:szCs w:val="22"/>
        </w:rPr>
        <w:t>设备（即无PE线的双重隔离）；</w:t>
      </w:r>
      <w:r>
        <w:rPr>
          <w:rFonts w:hint="eastAsia" w:ascii="Times New Roman"/>
          <w:szCs w:val="22"/>
        </w:rPr>
        <w:t>b）</w:t>
      </w:r>
      <w:r>
        <w:rPr>
          <w:rFonts w:ascii="Times New Roman"/>
          <w:szCs w:val="22"/>
        </w:rPr>
        <w:t>绝缘变压器；</w:t>
      </w:r>
      <w:r>
        <w:rPr>
          <w:rFonts w:hint="eastAsia" w:ascii="Times New Roman"/>
          <w:szCs w:val="22"/>
        </w:rPr>
        <w:t>c）</w:t>
      </w:r>
      <w:r>
        <w:rPr>
          <w:rFonts w:ascii="Times New Roman"/>
          <w:szCs w:val="22"/>
        </w:rPr>
        <w:t>无金属光缆；</w:t>
      </w:r>
      <w:r>
        <w:rPr>
          <w:rFonts w:hint="eastAsia" w:ascii="Times New Roman"/>
          <w:szCs w:val="22"/>
        </w:rPr>
        <w:t>d）</w:t>
      </w:r>
      <w:r>
        <w:rPr>
          <w:rFonts w:ascii="Times New Roman"/>
          <w:szCs w:val="22"/>
        </w:rPr>
        <w:t>光电耦合器。</w:t>
      </w:r>
    </w:p>
    <w:p>
      <w:pPr>
        <w:pStyle w:val="5"/>
        <w:spacing w:before="0" w:beforeAutospacing="0" w:after="0" w:afterAutospacing="0" w:line="400" w:lineRule="exact"/>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第B.10条</w:t>
      </w:r>
    </w:p>
    <w:p>
      <w:pPr>
        <w:pStyle w:val="8"/>
        <w:spacing w:line="400" w:lineRule="exact"/>
        <w:ind w:left="400" w:firstLine="48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bookmarkStart w:id="21" w:name="_Toc183605750"/>
      <w:r>
        <w:rPr>
          <w:rFonts w:hint="eastAsia" w:ascii="Times New Roman" w:hAnsi="Times New Roman" w:eastAsia="宋体" w:cs="Times New Roman"/>
          <w:b/>
          <w:color w:val="000000" w:themeColor="text1"/>
          <w:sz w:val="24"/>
          <w:szCs w:val="24"/>
          <w14:textFill>
            <w14:solidFill>
              <w14:schemeClr w14:val="tx1"/>
            </w14:solidFill>
          </w14:textFill>
        </w:rPr>
        <w:t>简述基于布线和屏蔽的防护措施。</w:t>
      </w:r>
      <w:bookmarkEnd w:id="21"/>
    </w:p>
    <w:p>
      <w:pPr>
        <w:pStyle w:val="10"/>
        <w:ind w:firstLine="240" w:firstLineChars="100"/>
        <w:rPr>
          <w:rFonts w:ascii="Times New Roman"/>
          <w:color w:val="000000"/>
          <w:sz w:val="24"/>
          <w:szCs w:val="24"/>
        </w:rPr>
      </w:pPr>
      <w:bookmarkStart w:id="22" w:name="_Toc183605831"/>
      <w:r>
        <w:rPr>
          <w:rFonts w:hint="eastAsia" w:ascii="Times New Roman"/>
          <w:color w:val="000000"/>
          <w:sz w:val="24"/>
          <w:szCs w:val="24"/>
        </w:rPr>
        <w:t>答</w:t>
      </w:r>
      <w:bookmarkEnd w:id="22"/>
      <w:r>
        <w:rPr>
          <w:rFonts w:hint="eastAsia" w:ascii="Times New Roman"/>
          <w:color w:val="000000"/>
          <w:sz w:val="24"/>
          <w:szCs w:val="24"/>
        </w:rPr>
        <w:t>：</w:t>
      </w:r>
    </w:p>
    <w:p>
      <w:pPr>
        <w:pStyle w:val="5"/>
        <w:spacing w:before="0" w:beforeAutospacing="0" w:after="0" w:afterAutospacing="0" w:line="400" w:lineRule="exact"/>
        <w:ind w:firstLine="480" w:firstLineChars="200"/>
        <w:rPr>
          <w:rFonts w:ascii="Times New Roman" w:hAnsi="Times New Roman"/>
          <w:color w:val="000000"/>
        </w:rPr>
      </w:pPr>
      <w:r>
        <w:rPr>
          <w:rFonts w:ascii="Times New Roman" w:hAnsi="Times New Roman"/>
          <w:color w:val="000000"/>
        </w:rPr>
        <w:t>合理布线和屏蔽是降低感应过压的有效措施。如果一级雷电防护区域</w:t>
      </w:r>
      <w:r>
        <w:rPr>
          <w:rFonts w:hint="eastAsia" w:ascii="Times New Roman" w:hAnsi="Times New Roman"/>
          <w:color w:val="000000"/>
        </w:rPr>
        <w:t>（</w:t>
      </w:r>
      <w:r>
        <w:rPr>
          <w:rFonts w:ascii="Times New Roman" w:hAnsi="Times New Roman"/>
          <w:color w:val="000000"/>
        </w:rPr>
        <w:t>LPZ 1</w:t>
      </w:r>
      <w:r>
        <w:rPr>
          <w:rFonts w:hint="eastAsia" w:ascii="Times New Roman" w:hAnsi="Times New Roman"/>
          <w:color w:val="000000"/>
        </w:rPr>
        <w:t>）</w:t>
      </w:r>
      <w:r>
        <w:rPr>
          <w:rFonts w:ascii="Times New Roman" w:hAnsi="Times New Roman"/>
          <w:color w:val="000000"/>
        </w:rPr>
        <w:t>的空间屏蔽效果可以忽略时，这些措施就极为重要。在这种场合，可根据下列原则对保护方式加以改进：</w:t>
      </w:r>
    </w:p>
    <w:p>
      <w:pPr>
        <w:pStyle w:val="13"/>
      </w:pPr>
      <w:r>
        <w:t>减小感应回路的面积；</w:t>
      </w:r>
    </w:p>
    <w:p>
      <w:pPr>
        <w:pStyle w:val="13"/>
        <w:tabs>
          <w:tab w:val="left" w:pos="840"/>
          <w:tab w:val="left" w:pos="1140"/>
        </w:tabs>
        <w:rPr>
          <w:rFonts w:ascii="Times New Roman"/>
        </w:rPr>
      </w:pPr>
      <w:r>
        <w:rPr>
          <w:rFonts w:ascii="Times New Roman"/>
        </w:rPr>
        <w:t>应当避免采用现有工频电源给新设备供电，因为它增大了封闭感应回路面积，大大</w:t>
      </w:r>
      <w:r>
        <w:rPr>
          <w:rFonts w:hint="eastAsia" w:ascii="Times New Roman"/>
        </w:rPr>
        <w:t>地</w:t>
      </w:r>
      <w:r>
        <w:rPr>
          <w:rFonts w:ascii="Times New Roman"/>
        </w:rPr>
        <w:t>增加了绝缘损害的风险</w:t>
      </w:r>
      <w:r>
        <w:rPr>
          <w:rFonts w:hint="eastAsia" w:ascii="Times New Roman"/>
        </w:rPr>
        <w:t>；</w:t>
      </w:r>
      <w:r>
        <w:rPr>
          <w:rFonts w:ascii="Times New Roman"/>
        </w:rPr>
        <w:t>同时，将电源线和信号线靠近布放可以避免产生大的回路；</w:t>
      </w:r>
    </w:p>
    <w:p>
      <w:pPr>
        <w:pStyle w:val="13"/>
        <w:tabs>
          <w:tab w:val="left" w:pos="840"/>
          <w:tab w:val="left" w:pos="1140"/>
        </w:tabs>
        <w:rPr>
          <w:rFonts w:ascii="Times New Roman"/>
        </w:rPr>
      </w:pPr>
      <w:r>
        <w:rPr>
          <w:rFonts w:ascii="Times New Roman"/>
        </w:rPr>
        <w:t>采用屏蔽电缆</w:t>
      </w:r>
      <w:r>
        <w:rPr>
          <w:rFonts w:hint="eastAsia" w:ascii="Times New Roman"/>
        </w:rPr>
        <w:t>，并</w:t>
      </w:r>
      <w:r>
        <w:rPr>
          <w:rFonts w:ascii="Times New Roman"/>
        </w:rPr>
        <w:t>至少在一端</w:t>
      </w:r>
      <w:r>
        <w:rPr>
          <w:rFonts w:hint="eastAsia" w:ascii="Times New Roman"/>
        </w:rPr>
        <w:t>进行搭接</w:t>
      </w:r>
      <w:r>
        <w:rPr>
          <w:rFonts w:ascii="Times New Roman"/>
        </w:rPr>
        <w:t xml:space="preserve">； </w:t>
      </w:r>
    </w:p>
    <w:p>
      <w:pPr>
        <w:pStyle w:val="13"/>
        <w:tabs>
          <w:tab w:val="left" w:pos="840"/>
          <w:tab w:val="left" w:pos="1140"/>
        </w:tabs>
        <w:rPr>
          <w:rFonts w:ascii="Times New Roman"/>
        </w:rPr>
      </w:pPr>
      <w:r>
        <w:rPr>
          <w:rFonts w:ascii="Times New Roman"/>
        </w:rPr>
        <w:t>使用金属电缆管</w:t>
      </w:r>
      <w:r>
        <w:rPr>
          <w:rFonts w:hint="eastAsia" w:ascii="Times New Roman"/>
        </w:rPr>
        <w:t>道</w:t>
      </w:r>
      <w:r>
        <w:rPr>
          <w:rFonts w:ascii="Times New Roman"/>
        </w:rPr>
        <w:t>或接地的金属</w:t>
      </w:r>
      <w:r>
        <w:rPr>
          <w:rFonts w:hint="eastAsia" w:ascii="Times New Roman"/>
        </w:rPr>
        <w:t>平板，</w:t>
      </w:r>
      <w:r>
        <w:rPr>
          <w:rFonts w:ascii="Times New Roman"/>
        </w:rPr>
        <w:t>分离的金属</w:t>
      </w:r>
      <w:r>
        <w:rPr>
          <w:rFonts w:hint="eastAsia" w:ascii="Times New Roman"/>
        </w:rPr>
        <w:t>部件</w:t>
      </w:r>
      <w:r>
        <w:rPr>
          <w:rFonts w:ascii="Times New Roman"/>
        </w:rPr>
        <w:t>应保持电气上的</w:t>
      </w:r>
      <w:r>
        <w:rPr>
          <w:rFonts w:hint="eastAsia" w:ascii="Times New Roman"/>
        </w:rPr>
        <w:t>良好连通；</w:t>
      </w:r>
      <w:r>
        <w:rPr>
          <w:rFonts w:ascii="Times New Roman"/>
        </w:rPr>
        <w:t>连接应该采用螺栓紧固金属重叠部分或采用</w:t>
      </w:r>
      <w:r>
        <w:rPr>
          <w:rFonts w:hint="eastAsia" w:ascii="Times New Roman"/>
        </w:rPr>
        <w:t>搭接</w:t>
      </w:r>
      <w:r>
        <w:rPr>
          <w:rFonts w:ascii="Times New Roman"/>
        </w:rPr>
        <w:t>导体的方式来实现</w:t>
      </w:r>
      <w:r>
        <w:rPr>
          <w:rFonts w:hint="eastAsia" w:ascii="Times New Roman"/>
        </w:rPr>
        <w:t>；</w:t>
      </w:r>
      <w:r>
        <w:rPr>
          <w:rFonts w:ascii="Times New Roman"/>
        </w:rPr>
        <w:t>为使电缆管</w:t>
      </w:r>
      <w:r>
        <w:rPr>
          <w:rFonts w:hint="eastAsia" w:ascii="Times New Roman"/>
        </w:rPr>
        <w:t>道</w:t>
      </w:r>
      <w:r>
        <w:rPr>
          <w:rFonts w:ascii="Times New Roman"/>
        </w:rPr>
        <w:t>保持低阻抗，应当在电缆管</w:t>
      </w:r>
      <w:r>
        <w:rPr>
          <w:rFonts w:hint="eastAsia" w:ascii="Times New Roman"/>
        </w:rPr>
        <w:t>道</w:t>
      </w:r>
      <w:r>
        <w:rPr>
          <w:rFonts w:ascii="Times New Roman"/>
        </w:rPr>
        <w:t>周围重叠缠绕螺旋形钢。</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第B.11条</w:t>
      </w:r>
    </w:p>
    <w:p>
      <w:pPr>
        <w:pStyle w:val="8"/>
        <w:spacing w:line="400" w:lineRule="exact"/>
        <w:ind w:left="400" w:firstLine="480"/>
        <w:jc w:val="left"/>
        <w:rPr>
          <w:rFonts w:ascii="Times New Roman" w:hAnsi="Times New Roman"/>
          <w:color w:val="000000"/>
          <w:kern w:val="0"/>
          <w:sz w:val="24"/>
          <w:szCs w:val="24"/>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简述外部安装设备的防护措施。</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1）只要有可能，就必须将设备置于雷电防护区域（LPZ 0</w:t>
      </w:r>
      <w:r>
        <w:rPr>
          <w:rFonts w:hint="eastAsia" w:ascii="Times New Roman" w:hAnsi="Times New Roman"/>
          <w:color w:val="000000"/>
          <w:vertAlign w:val="subscript"/>
        </w:rPr>
        <w:t>B</w:t>
      </w:r>
      <w:r>
        <w:rPr>
          <w:rFonts w:hint="eastAsia" w:ascii="Times New Roman" w:hAnsi="Times New Roman"/>
          <w:color w:val="000000"/>
        </w:rPr>
        <w:t>）的保护范围内，例如，采用局部接闪器，防止其遭到直接雷击。</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在高大建筑上，应当用滚球法确定建筑物顶部与侧面的设备是否会遭到直接雷击；若有遭到直接雷击的可能，应当另行安装避雷针接闪器。在许多场合，手扶栏杆、金属扶梯、管道等也能很好地起到接闪器的作用。除某些种类的天线外的所有设备都可以用这种方式保护。天线有时必须安装在暴露位置以避免附近的避雷针对天线的功能产生不利影响。有些天线本身具有自保护能力，因为这种天线只有良好接地的传导部件才暴露在雷击中。其它类型天线，需在其馈线电缆上加装SPD以防止过大的瞬态电流通过电缆向下流到接受器和发射器。当天线有外部LPS时，天线的支架应与其连接。</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同时应减小电缆中的过电压。将电缆敷设在搭接的电缆管道、干线管道或金属导管中，可以防止很高的感应电压和感应电流。所有与各自设备连接的电缆应当在单点离开电缆管道。如果可能的话，应当利用建筑物本身固有的屏蔽特性，将电缆放置在建筑物的管状构件中。若无此可能，例如对加工容器，需要将电缆敷设在外部，应当靠近建筑物，并最大限度利用金属管道、钢扶梯和其它任何良好搭接的导电材料所提供的天然屏蔽。采用L形角钢的天线塔，电缆应敷设在L角内，以得到最大限度的保护。</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w:t>
      </w:r>
      <w:r>
        <w:rPr>
          <w:rFonts w:hint="eastAsia" w:ascii="Times New Roman" w:hAnsi="Times New Roman" w:cs="Times New Roman"/>
          <w:color w:val="000000"/>
        </w:rPr>
        <w:t>/T</w:t>
      </w:r>
      <w:r>
        <w:rPr>
          <w:rFonts w:ascii="Times New Roman" w:hAnsi="Times New Roman" w:cs="Times New Roman"/>
          <w:color w:val="000000"/>
        </w:rPr>
        <w:t xml:space="preserve"> </w:t>
      </w:r>
      <w:r>
        <w:rPr>
          <w:rFonts w:hint="eastAsia" w:ascii="Times New Roman" w:hAnsi="Times New Roman" w:cs="Times New Roman"/>
          <w:color w:val="000000"/>
        </w:rPr>
        <w:t>21714.4</w:t>
      </w:r>
      <w:r>
        <w:rPr>
          <w:rFonts w:ascii="Times New Roman" w:hAnsi="Times New Roman" w:cs="Times New Roman"/>
          <w:color w:val="000000"/>
        </w:rPr>
        <w:t>-201</w:t>
      </w:r>
      <w:r>
        <w:rPr>
          <w:rFonts w:hint="eastAsia" w:ascii="Times New Roman" w:hAnsi="Times New Roman" w:cs="Times New Roman"/>
          <w:color w:val="000000"/>
        </w:rPr>
        <w:t>5《雷电防护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第B.12条</w:t>
      </w:r>
    </w:p>
    <w:p>
      <w:pPr>
        <w:pStyle w:val="5"/>
        <w:spacing w:before="0" w:beforeAutospacing="0" w:after="0" w:afterAutospacing="0" w:line="400" w:lineRule="exact"/>
        <w:rPr>
          <w:rFonts w:ascii="Times New Roman" w:hAnsi="Times New Roman" w:cs="Times New Roman"/>
          <w:color w:val="000000"/>
        </w:rPr>
      </w:pPr>
    </w:p>
    <w:p>
      <w:pPr>
        <w:numPr>
          <w:ilvl w:val="0"/>
          <w:numId w:val="9"/>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简述建筑物之间互连的改进措施。</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1）连接独立建筑间的线路有下列两种：绝缘线（无金属屏蔽的光缆），或金属线（例如导线组、多芯线、波导管、同轴电缆，也包括有连续金属部件的光缆）。</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2）防护要求取决于线路的类型、线路的数目、建筑物间的接地装置是否互相连接。</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a）绝缘线：如果采用无金属的光缆（即无金属护套、无防潮金属箔或无钢质内部加强线）连接独立的建筑物，不需要采用防护措施。</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b）金属保护线：独立建筑物的接地系统间的互连若不恰当，则互连线路会对雷电流构成一个低阻抗路径。这样，大部分雷电流将沿互连线路流动。</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两个独立建筑物各自的LPZ1直接或通过进线入口处SPD进行搭接，只能保护该区内部的设备，而线路外部仍处于无防护状态；增设一路并行的搭接保护线可以保护线路，雷电流将在线路和这一搭接导体之间分摊；建议将线路敷设在密封而互连的金属管道内，这样线路和设备都得到保护。</w:t>
      </w:r>
    </w:p>
    <w:p>
      <w:pPr>
        <w:pStyle w:val="5"/>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4）独立建筑物的接地装置恰当互连时，仍建议用互连的电缆管道保护线路。当互连建筑之间有许多电缆时，若电缆的屏蔽层或铠装在两端都做了搭接，则可用其代替电缆管道。</w:t>
      </w:r>
    </w:p>
    <w:p>
      <w:pPr>
        <w:pStyle w:val="5"/>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GB/T 21714.</w:t>
      </w:r>
      <w:r>
        <w:rPr>
          <w:rFonts w:hint="eastAsia" w:ascii="Times New Roman" w:hAnsi="Times New Roman" w:cs="Times New Roman"/>
          <w:color w:val="000000"/>
        </w:rPr>
        <w:t>4</w:t>
      </w:r>
      <w:r>
        <w:rPr>
          <w:rFonts w:ascii="Times New Roman" w:hAnsi="Times New Roman" w:cs="Times New Roman"/>
          <w:color w:val="000000"/>
        </w:rPr>
        <w:t>-2015</w:t>
      </w:r>
      <w:r>
        <w:rPr>
          <w:rFonts w:hint="eastAsia" w:ascii="Times New Roman" w:hAnsi="Times New Roman" w:cs="Times New Roman"/>
          <w:color w:val="000000"/>
        </w:rPr>
        <w:t>《雷电防护 第4部分：建筑物的物理损坏和生命危险</w:t>
      </w:r>
      <w:r>
        <w:rPr>
          <w:rFonts w:ascii="Times New Roman" w:hAnsi="Times New Roman" w:cs="Times New Roman"/>
          <w:color w:val="000000"/>
        </w:rPr>
        <w:t>》</w:t>
      </w:r>
      <w:r>
        <w:rPr>
          <w:rFonts w:hint="eastAsia" w:ascii="Times New Roman" w:hAnsi="Times New Roman" w:cs="Times New Roman"/>
          <w:color w:val="000000"/>
        </w:rPr>
        <w:t>第B.13条</w:t>
      </w:r>
    </w:p>
    <w:p>
      <w:pPr>
        <w:numPr>
          <w:numId w:val="0"/>
        </w:numPr>
        <w:ind w:left="420" w:leftChars="0"/>
        <w:rPr>
          <w:rFonts w:hint="default" w:ascii="黑体" w:hAnsi="黑体" w:eastAsia="黑体" w:cs="黑体"/>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69830"/>
    <w:multiLevelType w:val="singleLevel"/>
    <w:tmpl w:val="BDD69830"/>
    <w:lvl w:ilvl="0" w:tentative="0">
      <w:start w:val="1"/>
      <w:numFmt w:val="decimal"/>
      <w:suff w:val="space"/>
      <w:lvlText w:val="%1."/>
      <w:lvlJc w:val="left"/>
    </w:lvl>
  </w:abstractNum>
  <w:abstractNum w:abstractNumId="1">
    <w:nsid w:val="C9583FCC"/>
    <w:multiLevelType w:val="singleLevel"/>
    <w:tmpl w:val="C9583FCC"/>
    <w:lvl w:ilvl="0" w:tentative="0">
      <w:start w:val="2"/>
      <w:numFmt w:val="chineseCounting"/>
      <w:suff w:val="nothing"/>
      <w:lvlText w:val="%1、"/>
      <w:lvlJc w:val="left"/>
      <w:rPr>
        <w:rFonts w:hint="eastAsia"/>
      </w:rPr>
    </w:lvl>
  </w:abstractNum>
  <w:abstractNum w:abstractNumId="2">
    <w:nsid w:val="10F52859"/>
    <w:multiLevelType w:val="multilevel"/>
    <w:tmpl w:val="10F5285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8B5B35B"/>
    <w:multiLevelType w:val="singleLevel"/>
    <w:tmpl w:val="18B5B35B"/>
    <w:lvl w:ilvl="0" w:tentative="0">
      <w:start w:val="5"/>
      <w:numFmt w:val="chineseCounting"/>
      <w:suff w:val="nothing"/>
      <w:lvlText w:val="%1、"/>
      <w:lvlJc w:val="left"/>
      <w:pPr>
        <w:ind w:left="420" w:leftChars="0" w:firstLine="0" w:firstLineChars="0"/>
      </w:pPr>
      <w:rPr>
        <w:rFonts w:hint="eastAsia"/>
      </w:rPr>
    </w:lvl>
  </w:abstractNum>
  <w:abstractNum w:abstractNumId="4">
    <w:nsid w:val="1E5F6816"/>
    <w:multiLevelType w:val="multilevel"/>
    <w:tmpl w:val="1E5F6816"/>
    <w:lvl w:ilvl="0" w:tentative="0">
      <w:start w:val="1"/>
      <w:numFmt w:val="low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9945A42"/>
    <w:multiLevelType w:val="multilevel"/>
    <w:tmpl w:val="29945A42"/>
    <w:lvl w:ilvl="0" w:tentative="0">
      <w:start w:val="1"/>
      <w:numFmt w:val="decimal"/>
      <w:lvlText w:val="%1."/>
      <w:lvlJc w:val="left"/>
      <w:pPr>
        <w:ind w:left="567" w:hanging="567"/>
      </w:pPr>
      <w:rPr>
        <w:rFonts w:hint="eastAsia"/>
      </w:rPr>
    </w:lvl>
    <w:lvl w:ilvl="1" w:tentative="0">
      <w:start w:val="1"/>
      <w:numFmt w:val="decimal"/>
      <w:suff w:val="space"/>
      <w:lvlText w:val="%2."/>
      <w:lvlJc w:val="left"/>
      <w:pPr>
        <w:ind w:left="567" w:hanging="567"/>
      </w:pPr>
      <w:rPr>
        <w:rFonts w:hint="default" w:ascii="Times New Roman" w:hAnsi="Times New Roman" w:cs="Times New Roman"/>
      </w:rPr>
    </w:lvl>
    <w:lvl w:ilvl="2" w:tentative="0">
      <w:start w:val="1"/>
      <w:numFmt w:val="lowerRoman"/>
      <w:lvlText w:val="%3."/>
      <w:lvlJc w:val="right"/>
      <w:pPr>
        <w:ind w:left="567" w:hanging="567"/>
      </w:pPr>
      <w:rPr>
        <w:rFonts w:hint="eastAsia"/>
      </w:rPr>
    </w:lvl>
    <w:lvl w:ilvl="3" w:tentative="0">
      <w:start w:val="1"/>
      <w:numFmt w:val="decimal"/>
      <w:lvlText w:val="%4."/>
      <w:lvlJc w:val="left"/>
      <w:pPr>
        <w:ind w:left="567" w:hanging="567"/>
      </w:pPr>
      <w:rPr>
        <w:rFonts w:hint="eastAsia"/>
      </w:rPr>
    </w:lvl>
    <w:lvl w:ilvl="4" w:tentative="0">
      <w:start w:val="1"/>
      <w:numFmt w:val="lowerLetter"/>
      <w:lvlText w:val="%5)"/>
      <w:lvlJc w:val="left"/>
      <w:pPr>
        <w:ind w:left="567" w:hanging="567"/>
      </w:pPr>
      <w:rPr>
        <w:rFonts w:hint="eastAsia"/>
      </w:rPr>
    </w:lvl>
    <w:lvl w:ilvl="5" w:tentative="0">
      <w:start w:val="1"/>
      <w:numFmt w:val="lowerRoman"/>
      <w:lvlText w:val="%6."/>
      <w:lvlJc w:val="right"/>
      <w:pPr>
        <w:ind w:left="567" w:hanging="567"/>
      </w:pPr>
      <w:rPr>
        <w:rFonts w:hint="eastAsia"/>
      </w:rPr>
    </w:lvl>
    <w:lvl w:ilvl="6" w:tentative="0">
      <w:start w:val="1"/>
      <w:numFmt w:val="decimal"/>
      <w:lvlText w:val="%7."/>
      <w:lvlJc w:val="left"/>
      <w:pPr>
        <w:ind w:left="567" w:hanging="567"/>
      </w:pPr>
      <w:rPr>
        <w:rFonts w:hint="eastAsia"/>
      </w:rPr>
    </w:lvl>
    <w:lvl w:ilvl="7" w:tentative="0">
      <w:start w:val="1"/>
      <w:numFmt w:val="lowerLetter"/>
      <w:lvlText w:val="%8)"/>
      <w:lvlJc w:val="left"/>
      <w:pPr>
        <w:ind w:left="567" w:hanging="567"/>
      </w:pPr>
      <w:rPr>
        <w:rFonts w:hint="eastAsia"/>
      </w:rPr>
    </w:lvl>
    <w:lvl w:ilvl="8" w:tentative="0">
      <w:start w:val="1"/>
      <w:numFmt w:val="lowerRoman"/>
      <w:lvlText w:val="%9."/>
      <w:lvlJc w:val="right"/>
      <w:pPr>
        <w:ind w:left="567" w:hanging="567"/>
      </w:pPr>
      <w:rPr>
        <w:rFonts w:hint="eastAsia"/>
      </w:rPr>
    </w:lvl>
  </w:abstractNum>
  <w:abstractNum w:abstractNumId="6">
    <w:nsid w:val="2A8F7113"/>
    <w:multiLevelType w:val="multilevel"/>
    <w:tmpl w:val="2A8F7113"/>
    <w:lvl w:ilvl="0" w:tentative="0">
      <w:start w:val="1"/>
      <w:numFmt w:val="upperLetter"/>
      <w:pStyle w:val="11"/>
      <w:suff w:val="space"/>
      <w:lvlText w:val="%1"/>
      <w:lvlJc w:val="left"/>
      <w:pPr>
        <w:ind w:left="623" w:hanging="425"/>
      </w:pPr>
      <w:rPr>
        <w:rFonts w:hint="eastAsia"/>
      </w:rPr>
    </w:lvl>
    <w:lvl w:ilvl="1" w:tentative="0">
      <w:start w:val="1"/>
      <w:numFmt w:val="decimal"/>
      <w:suff w:val="nothing"/>
      <w:lvlText w:val="图%1.%2　"/>
      <w:lvlJc w:val="left"/>
      <w:pPr>
        <w:ind w:left="3927"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lowerLetter"/>
      <w:pStyle w:val="13"/>
      <w:suff w:val="nothing"/>
      <w:lvlText w:val="%1）"/>
      <w:lvlJc w:val="left"/>
      <w:pPr>
        <w:ind w:left="833" w:hanging="408"/>
      </w:pPr>
      <w:rPr>
        <w:rFonts w:ascii="Times New Roman" w:hAnsi="Times New Roman" w:eastAsia="宋体" w:cs="Times New Roman"/>
        <w:lang w:val="en-US"/>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2D70665E"/>
    <w:multiLevelType w:val="multilevel"/>
    <w:tmpl w:val="2D70665E"/>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54DC3561"/>
    <w:multiLevelType w:val="multilevel"/>
    <w:tmpl w:val="54DC3561"/>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6DBF04F4"/>
    <w:multiLevelType w:val="multilevel"/>
    <w:tmpl w:val="6DBF04F4"/>
    <w:lvl w:ilvl="0" w:tentative="0">
      <w:start w:val="1"/>
      <w:numFmt w:val="none"/>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6"/>
  </w:num>
  <w:num w:numId="2">
    <w:abstractNumId w:val="7"/>
  </w:num>
  <w:num w:numId="3">
    <w:abstractNumId w:val="1"/>
  </w:num>
  <w:num w:numId="4">
    <w:abstractNumId w:val="0"/>
  </w:num>
  <w:num w:numId="5">
    <w:abstractNumId w:val="2"/>
  </w:num>
  <w:num w:numId="6">
    <w:abstractNumId w:val="9"/>
  </w:num>
  <w:num w:numId="7">
    <w:abstractNumId w:val="3"/>
  </w:num>
  <w:num w:numId="8">
    <w:abstractNumId w:val="5"/>
  </w:num>
  <w:num w:numId="9">
    <w:abstractNumId w:val="8"/>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81038C"/>
    <w:rsid w:val="00C81A09"/>
    <w:rsid w:val="029355BC"/>
    <w:rsid w:val="05217DE3"/>
    <w:rsid w:val="05533A1F"/>
    <w:rsid w:val="05643E8A"/>
    <w:rsid w:val="06B2748E"/>
    <w:rsid w:val="07872751"/>
    <w:rsid w:val="092B45F0"/>
    <w:rsid w:val="0B9E5A11"/>
    <w:rsid w:val="0D6C16E6"/>
    <w:rsid w:val="0DA2643B"/>
    <w:rsid w:val="0ECE51A3"/>
    <w:rsid w:val="103F1057"/>
    <w:rsid w:val="1481038C"/>
    <w:rsid w:val="16810095"/>
    <w:rsid w:val="1F880062"/>
    <w:rsid w:val="1FE6333E"/>
    <w:rsid w:val="1FF50239"/>
    <w:rsid w:val="204E3C35"/>
    <w:rsid w:val="21EF54A7"/>
    <w:rsid w:val="220E0492"/>
    <w:rsid w:val="24E7742B"/>
    <w:rsid w:val="26217C40"/>
    <w:rsid w:val="268C3542"/>
    <w:rsid w:val="2AFB2200"/>
    <w:rsid w:val="2B0C2EA3"/>
    <w:rsid w:val="2C767C4C"/>
    <w:rsid w:val="2DC43A16"/>
    <w:rsid w:val="2ED62AD1"/>
    <w:rsid w:val="31835F7C"/>
    <w:rsid w:val="32DB0457"/>
    <w:rsid w:val="35786C4D"/>
    <w:rsid w:val="358B1667"/>
    <w:rsid w:val="35CE02EA"/>
    <w:rsid w:val="3ABD70A9"/>
    <w:rsid w:val="3AFD5707"/>
    <w:rsid w:val="3BEF0859"/>
    <w:rsid w:val="3C244FB9"/>
    <w:rsid w:val="3D4226BD"/>
    <w:rsid w:val="3E102879"/>
    <w:rsid w:val="3EC223E5"/>
    <w:rsid w:val="3F077E16"/>
    <w:rsid w:val="40725624"/>
    <w:rsid w:val="45A64645"/>
    <w:rsid w:val="45D76FB8"/>
    <w:rsid w:val="460B449B"/>
    <w:rsid w:val="479D2C70"/>
    <w:rsid w:val="499A4EE9"/>
    <w:rsid w:val="4ACF76D8"/>
    <w:rsid w:val="4BAD6E39"/>
    <w:rsid w:val="4C877153"/>
    <w:rsid w:val="4F094BA2"/>
    <w:rsid w:val="50A374BA"/>
    <w:rsid w:val="51233C12"/>
    <w:rsid w:val="5165211D"/>
    <w:rsid w:val="546F5F66"/>
    <w:rsid w:val="5471216D"/>
    <w:rsid w:val="55CB5239"/>
    <w:rsid w:val="567C38A9"/>
    <w:rsid w:val="58041ED3"/>
    <w:rsid w:val="593443FD"/>
    <w:rsid w:val="5C3C474F"/>
    <w:rsid w:val="5E1313FD"/>
    <w:rsid w:val="5FAB29AD"/>
    <w:rsid w:val="60E35881"/>
    <w:rsid w:val="614C7A2D"/>
    <w:rsid w:val="62CB4F56"/>
    <w:rsid w:val="64170DDE"/>
    <w:rsid w:val="64ED6E58"/>
    <w:rsid w:val="655F2805"/>
    <w:rsid w:val="66302223"/>
    <w:rsid w:val="663469F0"/>
    <w:rsid w:val="671E2624"/>
    <w:rsid w:val="68226AA7"/>
    <w:rsid w:val="68956EAD"/>
    <w:rsid w:val="6993322D"/>
    <w:rsid w:val="69BE38A6"/>
    <w:rsid w:val="6A231CBE"/>
    <w:rsid w:val="6BAB2CC1"/>
    <w:rsid w:val="6BAC0D71"/>
    <w:rsid w:val="6C576BE9"/>
    <w:rsid w:val="6D754191"/>
    <w:rsid w:val="6FBD2567"/>
    <w:rsid w:val="6FD610A4"/>
    <w:rsid w:val="72950726"/>
    <w:rsid w:val="75DC1C80"/>
    <w:rsid w:val="769A30EB"/>
    <w:rsid w:val="77074FF2"/>
    <w:rsid w:val="787C2FA0"/>
    <w:rsid w:val="7933362B"/>
    <w:rsid w:val="7FFD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 w:val="21"/>
      <w:szCs w:val="21"/>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qFormat/>
    <w:uiPriority w:val="0"/>
    <w:pPr>
      <w:ind w:firstLine="315"/>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rPr>
      <w:rFonts w:eastAsia="宋体" w:cs="Times New Roman"/>
      <w:sz w:val="21"/>
      <w:szCs w:val="22"/>
    </w:rPr>
  </w:style>
  <w:style w:type="paragraph" w:customStyle="1" w:styleId="9">
    <w:name w:val="2"/>
    <w:basedOn w:val="1"/>
    <w:next w:val="4"/>
    <w:qFormat/>
    <w:uiPriority w:val="0"/>
    <w:pPr>
      <w:ind w:firstLine="315"/>
    </w:pPr>
    <w:rPr>
      <w:sz w:val="18"/>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注："/>
    <w:next w:val="10"/>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12">
    <w:name w:val="NOTE"/>
    <w:basedOn w:val="1"/>
    <w:qFormat/>
    <w:uiPriority w:val="0"/>
    <w:pPr>
      <w:widowControl/>
      <w:spacing w:after="100"/>
    </w:pPr>
    <w:rPr>
      <w:rFonts w:ascii="Arial" w:hAnsi="Arial" w:cs="Arial"/>
      <w:spacing w:val="8"/>
      <w:kern w:val="0"/>
      <w:sz w:val="16"/>
      <w:szCs w:val="16"/>
      <w:lang w:val="en-GB"/>
    </w:rPr>
  </w:style>
  <w:style w:type="paragraph" w:customStyle="1" w:styleId="13">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png"/><Relationship Id="rId17" Type="http://schemas.openxmlformats.org/officeDocument/2006/relationships/image" Target="media/image12.wmf"/><Relationship Id="rId16" Type="http://schemas.openxmlformats.org/officeDocument/2006/relationships/image" Target="media/image11.png"/><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2021-11-02T03:17:00Z</dcterms:created>
  <dc:creator>Edith</dc:creator>
  <cp:lastModifiedBy>Edith</cp:lastModifiedBy>
  <dcterms:modified xsi:type="dcterms:W3CDTF">2021-11-02T06:52:15Z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7D89DC2D4A3E46C4BB0D7F01B46C0DB0</vt:lpwstr>
  </property>
</Properties>
</file>